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0EE" w:rsidRDefault="00840327">
      <w:pPr>
        <w:rPr>
          <w:noProof/>
          <w:lang w:eastAsia="en-GB"/>
        </w:rPr>
      </w:pPr>
      <w:r>
        <w:rPr>
          <w:noProof/>
          <w:lang w:eastAsia="en-GB"/>
        </w:rPr>
        <w:drawing>
          <wp:anchor distT="0" distB="0" distL="114300" distR="114300" simplePos="0" relativeHeight="251658240" behindDoc="1" locked="1" layoutInCell="1" allowOverlap="1">
            <wp:simplePos x="0" y="0"/>
            <wp:positionH relativeFrom="margin">
              <wp:posOffset>-971550</wp:posOffset>
            </wp:positionH>
            <wp:positionV relativeFrom="margin">
              <wp:posOffset>-1066800</wp:posOffset>
            </wp:positionV>
            <wp:extent cx="7626350" cy="1190625"/>
            <wp:effectExtent l="0" t="0" r="0" b="9525"/>
            <wp:wrapNone/>
            <wp:docPr id="1" name="Picture 1" descr="C:\Users\laverickd\Desktop\0007 Corporate Stationary - CC - Letterhea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verickd\Desktop\0007 Corporate Stationary - CC - Letterhead-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88869"/>
                    <a:stretch/>
                  </pic:blipFill>
                  <pic:spPr bwMode="auto">
                    <a:xfrm>
                      <a:off x="0" y="0"/>
                      <a:ext cx="7626350" cy="1190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52619" w:rsidRDefault="00E702C0" w:rsidP="00E52619">
      <w:pPr>
        <w:spacing w:after="120" w:line="240" w:lineRule="auto"/>
        <w:rPr>
          <w:rFonts w:cstheme="minorHAnsi"/>
          <w:b/>
          <w:sz w:val="24"/>
        </w:rPr>
      </w:pPr>
      <w:r>
        <w:rPr>
          <w:rFonts w:cstheme="minorHAnsi"/>
          <w:b/>
          <w:sz w:val="24"/>
        </w:rPr>
        <w:t>Chesterfield College Annual Equality Report 2017/18.</w:t>
      </w:r>
    </w:p>
    <w:p w:rsidR="00E702C0" w:rsidRDefault="00E702C0" w:rsidP="00E52619">
      <w:pPr>
        <w:spacing w:after="120" w:line="240" w:lineRule="auto"/>
        <w:rPr>
          <w:rFonts w:cstheme="minorHAnsi"/>
          <w:sz w:val="24"/>
        </w:rPr>
      </w:pPr>
      <w:r w:rsidRPr="00E702C0">
        <w:rPr>
          <w:rFonts w:cstheme="minorHAnsi"/>
          <w:sz w:val="24"/>
        </w:rPr>
        <w:t>The Equality Act 2010 replaces previous anti-discrimination legislation with a single act. It aims to simplify the law, remove inconsistencies and make it easier to understand and comply with.</w:t>
      </w:r>
      <w:r w:rsidRPr="00E702C0">
        <w:t xml:space="preserve"> </w:t>
      </w:r>
      <w:r w:rsidRPr="00E702C0">
        <w:rPr>
          <w:rFonts w:cstheme="minorHAnsi"/>
          <w:sz w:val="24"/>
        </w:rPr>
        <w:t>It also aims to strengthen the law and to help tackle discrimination and inequality. The majority of The Equality Act came into force on 1 October 2010.</w:t>
      </w:r>
    </w:p>
    <w:p w:rsidR="00E702C0" w:rsidRDefault="00E702C0" w:rsidP="00E52619">
      <w:pPr>
        <w:spacing w:after="120" w:line="240" w:lineRule="auto"/>
        <w:rPr>
          <w:rFonts w:cstheme="minorHAnsi"/>
          <w:sz w:val="24"/>
        </w:rPr>
      </w:pPr>
      <w:r w:rsidRPr="00E702C0">
        <w:rPr>
          <w:rFonts w:cstheme="minorHAnsi"/>
          <w:sz w:val="24"/>
        </w:rPr>
        <w:t xml:space="preserve">The college has continued good practice and set a number of equality objectives after a detailed analysis of the data for staff and students and monitored progress against them. Progress is reported to the College Corporation and to the </w:t>
      </w:r>
      <w:r w:rsidR="00325A4C">
        <w:rPr>
          <w:rFonts w:cstheme="minorHAnsi"/>
          <w:sz w:val="24"/>
        </w:rPr>
        <w:t>Equality, Diversity and Inclusion</w:t>
      </w:r>
      <w:r w:rsidRPr="00E702C0">
        <w:rPr>
          <w:rFonts w:cstheme="minorHAnsi"/>
          <w:sz w:val="24"/>
        </w:rPr>
        <w:t xml:space="preserve"> Committee.</w:t>
      </w:r>
    </w:p>
    <w:p w:rsidR="00E702C0" w:rsidRPr="00E702C0" w:rsidRDefault="00E702C0" w:rsidP="00E52619">
      <w:pPr>
        <w:spacing w:after="120" w:line="240" w:lineRule="auto"/>
        <w:rPr>
          <w:rFonts w:cstheme="minorHAnsi"/>
          <w:sz w:val="24"/>
        </w:rPr>
      </w:pPr>
      <w:r>
        <w:rPr>
          <w:rFonts w:cstheme="minorHAnsi"/>
          <w:sz w:val="24"/>
        </w:rPr>
        <w:t xml:space="preserve">We aim to use this report to identify future actions to both promote </w:t>
      </w:r>
      <w:r w:rsidR="00325A4C">
        <w:rPr>
          <w:rFonts w:cstheme="minorHAnsi"/>
          <w:sz w:val="24"/>
        </w:rPr>
        <w:t>Equality, Diversity and Inclusion</w:t>
      </w:r>
      <w:r>
        <w:rPr>
          <w:rFonts w:cstheme="minorHAnsi"/>
          <w:sz w:val="24"/>
        </w:rPr>
        <w:t xml:space="preserve"> </w:t>
      </w:r>
      <w:r w:rsidR="0089201D">
        <w:rPr>
          <w:rFonts w:cstheme="minorHAnsi"/>
          <w:sz w:val="24"/>
        </w:rPr>
        <w:t xml:space="preserve">(EDI) </w:t>
      </w:r>
      <w:r>
        <w:rPr>
          <w:rFonts w:cstheme="minorHAnsi"/>
          <w:sz w:val="24"/>
        </w:rPr>
        <w:t>and remove barriers to achievement</w:t>
      </w:r>
      <w:r w:rsidR="009C2675">
        <w:rPr>
          <w:rFonts w:cstheme="minorHAnsi"/>
          <w:sz w:val="24"/>
        </w:rPr>
        <w:t xml:space="preserve"> and progression</w:t>
      </w:r>
      <w:r>
        <w:rPr>
          <w:rFonts w:cstheme="minorHAnsi"/>
          <w:sz w:val="24"/>
        </w:rPr>
        <w:t xml:space="preserve"> </w:t>
      </w:r>
      <w:r w:rsidR="009C2675">
        <w:rPr>
          <w:rFonts w:cstheme="minorHAnsi"/>
          <w:sz w:val="24"/>
        </w:rPr>
        <w:t>for</w:t>
      </w:r>
      <w:r>
        <w:rPr>
          <w:rFonts w:cstheme="minorHAnsi"/>
          <w:sz w:val="24"/>
        </w:rPr>
        <w:t xml:space="preserve"> </w:t>
      </w:r>
      <w:r w:rsidR="009C2675">
        <w:rPr>
          <w:rFonts w:cstheme="minorHAnsi"/>
          <w:sz w:val="24"/>
        </w:rPr>
        <w:t xml:space="preserve">our </w:t>
      </w:r>
      <w:r>
        <w:rPr>
          <w:rFonts w:cstheme="minorHAnsi"/>
          <w:sz w:val="24"/>
        </w:rPr>
        <w:t>staff and students.</w:t>
      </w:r>
    </w:p>
    <w:p w:rsidR="00E702C0" w:rsidRPr="00E52619" w:rsidRDefault="00E702C0" w:rsidP="00E52619">
      <w:pPr>
        <w:spacing w:after="120" w:line="240" w:lineRule="auto"/>
        <w:rPr>
          <w:rFonts w:cstheme="minorHAnsi"/>
          <w:b/>
          <w:sz w:val="24"/>
        </w:rPr>
      </w:pPr>
    </w:p>
    <w:p w:rsidR="009640EE" w:rsidRPr="00E52619" w:rsidRDefault="009640EE" w:rsidP="00E52619">
      <w:pPr>
        <w:pStyle w:val="ListParagraph"/>
        <w:numPr>
          <w:ilvl w:val="0"/>
          <w:numId w:val="1"/>
        </w:numPr>
        <w:spacing w:after="120" w:line="240" w:lineRule="auto"/>
        <w:rPr>
          <w:rFonts w:cstheme="minorHAnsi"/>
          <w:b/>
          <w:sz w:val="24"/>
        </w:rPr>
      </w:pPr>
      <w:r w:rsidRPr="00E52619">
        <w:rPr>
          <w:rFonts w:cstheme="minorHAnsi"/>
          <w:b/>
          <w:sz w:val="24"/>
        </w:rPr>
        <w:t>Student Achievement Gaps – 2017/18</w:t>
      </w:r>
    </w:p>
    <w:p w:rsidR="009640EE" w:rsidRPr="009640EE" w:rsidRDefault="009640EE" w:rsidP="009640EE">
      <w:pPr>
        <w:spacing w:after="120" w:line="240" w:lineRule="auto"/>
        <w:rPr>
          <w:rFonts w:cstheme="minorHAnsi"/>
          <w:b/>
          <w:u w:val="single"/>
        </w:rPr>
      </w:pPr>
      <w:r w:rsidRPr="009640EE">
        <w:rPr>
          <w:rFonts w:cstheme="minorHAnsi"/>
          <w:b/>
          <w:u w:val="single"/>
        </w:rPr>
        <w:t xml:space="preserve">Classroom Based Learning </w:t>
      </w:r>
    </w:p>
    <w:p w:rsidR="00B509AF" w:rsidRDefault="009640EE" w:rsidP="009640EE">
      <w:pPr>
        <w:spacing w:after="120" w:line="240" w:lineRule="auto"/>
        <w:rPr>
          <w:rFonts w:eastAsia="Calibri" w:cstheme="minorHAnsi"/>
        </w:rPr>
      </w:pPr>
      <w:r w:rsidRPr="009640EE">
        <w:rPr>
          <w:rFonts w:cstheme="minorHAnsi"/>
          <w:b/>
        </w:rPr>
        <w:t>Age - Overall Classroom Achievement by Age</w:t>
      </w:r>
    </w:p>
    <w:tbl>
      <w:tblPr>
        <w:tblW w:w="992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952"/>
        <w:gridCol w:w="794"/>
        <w:gridCol w:w="794"/>
        <w:gridCol w:w="952"/>
        <w:gridCol w:w="794"/>
        <w:gridCol w:w="794"/>
        <w:gridCol w:w="794"/>
        <w:gridCol w:w="952"/>
        <w:gridCol w:w="794"/>
        <w:gridCol w:w="794"/>
        <w:gridCol w:w="794"/>
      </w:tblGrid>
      <w:tr w:rsidR="00EE4793" w:rsidRPr="00B509AF" w:rsidTr="00CC4F8E">
        <w:trPr>
          <w:trHeight w:val="305"/>
        </w:trPr>
        <w:tc>
          <w:tcPr>
            <w:tcW w:w="719" w:type="dxa"/>
            <w:vMerge w:val="restart"/>
            <w:shd w:val="clear" w:color="auto" w:fill="C6D9F1" w:themeFill="text2" w:themeFillTint="33"/>
            <w:vAlign w:val="center"/>
            <w:hideMark/>
          </w:tcPr>
          <w:p w:rsidR="00EE4793" w:rsidRPr="00B509AF" w:rsidRDefault="00EE4793" w:rsidP="00B509AF">
            <w:pPr>
              <w:spacing w:after="0" w:line="240" w:lineRule="auto"/>
              <w:jc w:val="center"/>
              <w:rPr>
                <w:rFonts w:eastAsia="Times New Roman" w:cs="Times New Roman"/>
                <w:b/>
                <w:bCs/>
                <w:color w:val="000000"/>
                <w:sz w:val="20"/>
                <w:szCs w:val="20"/>
                <w:lang w:eastAsia="en-GB"/>
              </w:rPr>
            </w:pPr>
            <w:r w:rsidRPr="00B509AF">
              <w:rPr>
                <w:rFonts w:eastAsia="Times New Roman" w:cs="Times New Roman"/>
                <w:b/>
                <w:bCs/>
                <w:color w:val="000000"/>
                <w:sz w:val="20"/>
                <w:szCs w:val="20"/>
                <w:lang w:eastAsia="en-GB"/>
              </w:rPr>
              <w:t> </w:t>
            </w:r>
          </w:p>
        </w:tc>
        <w:tc>
          <w:tcPr>
            <w:tcW w:w="2540" w:type="dxa"/>
            <w:gridSpan w:val="3"/>
            <w:shd w:val="clear" w:color="auto" w:fill="C6D9F1" w:themeFill="text2" w:themeFillTint="33"/>
            <w:vAlign w:val="center"/>
            <w:hideMark/>
          </w:tcPr>
          <w:p w:rsidR="00EE4793" w:rsidRPr="00B509AF" w:rsidRDefault="00EE4793" w:rsidP="00B509AF">
            <w:pPr>
              <w:spacing w:after="0" w:line="240" w:lineRule="auto"/>
              <w:jc w:val="center"/>
              <w:rPr>
                <w:rFonts w:eastAsia="Times New Roman" w:cs="Times New Roman"/>
                <w:b/>
                <w:bCs/>
                <w:color w:val="000000"/>
                <w:sz w:val="20"/>
                <w:szCs w:val="20"/>
                <w:lang w:eastAsia="en-GB"/>
              </w:rPr>
            </w:pPr>
            <w:r w:rsidRPr="00B509AF">
              <w:rPr>
                <w:rFonts w:eastAsia="Times New Roman" w:cs="Times New Roman"/>
                <w:b/>
                <w:bCs/>
                <w:color w:val="000000"/>
                <w:sz w:val="20"/>
                <w:szCs w:val="20"/>
                <w:lang w:eastAsia="en-GB"/>
              </w:rPr>
              <w:t>2015/16</w:t>
            </w:r>
          </w:p>
        </w:tc>
        <w:tc>
          <w:tcPr>
            <w:tcW w:w="2540" w:type="dxa"/>
            <w:gridSpan w:val="3"/>
            <w:shd w:val="clear" w:color="auto" w:fill="C6D9F1" w:themeFill="text2" w:themeFillTint="33"/>
            <w:vAlign w:val="center"/>
            <w:hideMark/>
          </w:tcPr>
          <w:p w:rsidR="00EE4793" w:rsidRPr="00B509AF" w:rsidRDefault="00EE4793" w:rsidP="00B509AF">
            <w:pPr>
              <w:spacing w:after="0" w:line="240" w:lineRule="auto"/>
              <w:jc w:val="center"/>
              <w:rPr>
                <w:rFonts w:eastAsia="Times New Roman" w:cs="Times New Roman"/>
                <w:b/>
                <w:bCs/>
                <w:color w:val="000000"/>
                <w:sz w:val="20"/>
                <w:szCs w:val="20"/>
                <w:lang w:eastAsia="en-GB"/>
              </w:rPr>
            </w:pPr>
            <w:r w:rsidRPr="00B509AF">
              <w:rPr>
                <w:rFonts w:eastAsia="Times New Roman" w:cs="Times New Roman"/>
                <w:b/>
                <w:bCs/>
                <w:color w:val="000000"/>
                <w:sz w:val="20"/>
                <w:szCs w:val="20"/>
                <w:lang w:eastAsia="en-GB"/>
              </w:rPr>
              <w:t>2016/17</w:t>
            </w:r>
          </w:p>
        </w:tc>
        <w:tc>
          <w:tcPr>
            <w:tcW w:w="794" w:type="dxa"/>
            <w:vMerge w:val="restart"/>
            <w:shd w:val="clear" w:color="000000" w:fill="BFBFBF"/>
            <w:vAlign w:val="center"/>
            <w:hideMark/>
          </w:tcPr>
          <w:p w:rsidR="00EE4793" w:rsidRPr="00B509AF" w:rsidRDefault="00EE4793" w:rsidP="004D6D36">
            <w:pPr>
              <w:spacing w:after="0" w:line="240" w:lineRule="auto"/>
              <w:jc w:val="center"/>
              <w:rPr>
                <w:rFonts w:eastAsia="Times New Roman" w:cs="Times New Roman"/>
                <w:b/>
                <w:bCs/>
                <w:sz w:val="20"/>
                <w:szCs w:val="20"/>
                <w:lang w:eastAsia="en-GB"/>
              </w:rPr>
            </w:pPr>
            <w:r w:rsidRPr="00B509AF">
              <w:rPr>
                <w:rFonts w:eastAsia="Times New Roman" w:cs="Times New Roman"/>
                <w:b/>
                <w:bCs/>
                <w:sz w:val="20"/>
                <w:szCs w:val="20"/>
                <w:lang w:eastAsia="en-GB"/>
              </w:rPr>
              <w:t xml:space="preserve">2016/17 </w:t>
            </w:r>
            <w:r w:rsidR="004D6D36" w:rsidRPr="00FC6F32">
              <w:rPr>
                <w:rFonts w:eastAsia="Times New Roman" w:cs="Times New Roman"/>
                <w:b/>
                <w:bCs/>
                <w:sz w:val="20"/>
                <w:szCs w:val="20"/>
                <w:lang w:eastAsia="en-GB"/>
              </w:rPr>
              <w:t>PPA</w:t>
            </w:r>
          </w:p>
        </w:tc>
        <w:tc>
          <w:tcPr>
            <w:tcW w:w="2540" w:type="dxa"/>
            <w:gridSpan w:val="3"/>
            <w:shd w:val="clear" w:color="auto" w:fill="C6D9F1" w:themeFill="text2" w:themeFillTint="33"/>
            <w:vAlign w:val="center"/>
            <w:hideMark/>
          </w:tcPr>
          <w:p w:rsidR="00EE4793" w:rsidRPr="00B509AF" w:rsidRDefault="00EE4793" w:rsidP="00B509AF">
            <w:pPr>
              <w:spacing w:after="0" w:line="240" w:lineRule="auto"/>
              <w:jc w:val="center"/>
              <w:rPr>
                <w:rFonts w:eastAsia="Times New Roman" w:cs="Times New Roman"/>
                <w:b/>
                <w:bCs/>
                <w:color w:val="000000"/>
                <w:sz w:val="20"/>
                <w:szCs w:val="20"/>
                <w:lang w:eastAsia="en-GB"/>
              </w:rPr>
            </w:pPr>
            <w:r w:rsidRPr="00B509AF">
              <w:rPr>
                <w:rFonts w:eastAsia="Times New Roman" w:cs="Times New Roman"/>
                <w:b/>
                <w:bCs/>
                <w:color w:val="000000"/>
                <w:sz w:val="20"/>
                <w:szCs w:val="20"/>
                <w:lang w:eastAsia="en-GB"/>
              </w:rPr>
              <w:t>2017/18</w:t>
            </w:r>
          </w:p>
        </w:tc>
        <w:tc>
          <w:tcPr>
            <w:tcW w:w="794" w:type="dxa"/>
            <w:vMerge w:val="restart"/>
            <w:shd w:val="clear" w:color="000000" w:fill="BFBFBF"/>
            <w:vAlign w:val="center"/>
            <w:hideMark/>
          </w:tcPr>
          <w:p w:rsidR="00EE4793" w:rsidRPr="00B509AF" w:rsidRDefault="00EE4793" w:rsidP="004D6D36">
            <w:pPr>
              <w:spacing w:after="0" w:line="240" w:lineRule="auto"/>
              <w:jc w:val="center"/>
              <w:rPr>
                <w:rFonts w:eastAsia="Times New Roman" w:cs="Times New Roman"/>
                <w:b/>
                <w:bCs/>
                <w:sz w:val="20"/>
                <w:szCs w:val="20"/>
                <w:lang w:eastAsia="en-GB"/>
              </w:rPr>
            </w:pPr>
            <w:r w:rsidRPr="00B509AF">
              <w:rPr>
                <w:rFonts w:eastAsia="Times New Roman" w:cs="Times New Roman"/>
                <w:b/>
                <w:bCs/>
                <w:sz w:val="20"/>
                <w:szCs w:val="20"/>
                <w:lang w:eastAsia="en-GB"/>
              </w:rPr>
              <w:t>2017/18 Var to PPA</w:t>
            </w:r>
          </w:p>
        </w:tc>
      </w:tr>
      <w:tr w:rsidR="00EE4793" w:rsidRPr="00B509AF" w:rsidTr="00CC4F8E">
        <w:trPr>
          <w:trHeight w:val="320"/>
        </w:trPr>
        <w:tc>
          <w:tcPr>
            <w:tcW w:w="719" w:type="dxa"/>
            <w:vMerge/>
            <w:shd w:val="clear" w:color="auto" w:fill="C6D9F1" w:themeFill="text2" w:themeFillTint="33"/>
            <w:vAlign w:val="center"/>
            <w:hideMark/>
          </w:tcPr>
          <w:p w:rsidR="00EE4793" w:rsidRPr="00B509AF" w:rsidRDefault="00EE4793" w:rsidP="00B509AF">
            <w:pPr>
              <w:spacing w:after="0" w:line="240" w:lineRule="auto"/>
              <w:rPr>
                <w:rFonts w:eastAsia="Times New Roman" w:cs="Times New Roman"/>
                <w:b/>
                <w:bCs/>
                <w:color w:val="000000"/>
                <w:sz w:val="20"/>
                <w:szCs w:val="20"/>
                <w:lang w:eastAsia="en-GB"/>
              </w:rPr>
            </w:pPr>
          </w:p>
        </w:tc>
        <w:tc>
          <w:tcPr>
            <w:tcW w:w="952" w:type="dxa"/>
            <w:shd w:val="clear" w:color="auto" w:fill="C6D9F1" w:themeFill="text2" w:themeFillTint="33"/>
            <w:vAlign w:val="center"/>
            <w:hideMark/>
          </w:tcPr>
          <w:p w:rsidR="00EE4793" w:rsidRPr="00B509AF" w:rsidRDefault="00EE4793" w:rsidP="00B509AF">
            <w:pPr>
              <w:spacing w:after="0" w:line="240" w:lineRule="auto"/>
              <w:jc w:val="center"/>
              <w:rPr>
                <w:rFonts w:eastAsia="Times New Roman" w:cs="Times New Roman"/>
                <w:b/>
                <w:bCs/>
                <w:color w:val="000000"/>
                <w:sz w:val="20"/>
                <w:szCs w:val="20"/>
                <w:lang w:eastAsia="en-GB"/>
              </w:rPr>
            </w:pPr>
            <w:r w:rsidRPr="00B509AF">
              <w:rPr>
                <w:rFonts w:eastAsia="Times New Roman" w:cs="Times New Roman"/>
                <w:b/>
                <w:bCs/>
                <w:color w:val="000000"/>
                <w:sz w:val="20"/>
                <w:szCs w:val="20"/>
                <w:lang w:eastAsia="en-GB"/>
              </w:rPr>
              <w:t>Students</w:t>
            </w:r>
          </w:p>
        </w:tc>
        <w:tc>
          <w:tcPr>
            <w:tcW w:w="794" w:type="dxa"/>
            <w:shd w:val="clear" w:color="auto" w:fill="C6D9F1" w:themeFill="text2" w:themeFillTint="33"/>
            <w:vAlign w:val="center"/>
            <w:hideMark/>
          </w:tcPr>
          <w:p w:rsidR="00EE4793" w:rsidRPr="00B509AF" w:rsidRDefault="00EE4793" w:rsidP="00B509AF">
            <w:pPr>
              <w:spacing w:after="0" w:line="240" w:lineRule="auto"/>
              <w:jc w:val="center"/>
              <w:rPr>
                <w:rFonts w:eastAsia="Times New Roman" w:cs="Times New Roman"/>
                <w:b/>
                <w:bCs/>
                <w:color w:val="000000"/>
                <w:sz w:val="20"/>
                <w:szCs w:val="20"/>
                <w:lang w:eastAsia="en-GB"/>
              </w:rPr>
            </w:pPr>
            <w:r w:rsidRPr="00B509AF">
              <w:rPr>
                <w:rFonts w:eastAsia="Times New Roman" w:cs="Times New Roman"/>
                <w:b/>
                <w:bCs/>
                <w:color w:val="000000"/>
                <w:sz w:val="20"/>
                <w:szCs w:val="20"/>
                <w:lang w:eastAsia="en-GB"/>
              </w:rPr>
              <w:t>Enrols</w:t>
            </w:r>
          </w:p>
        </w:tc>
        <w:tc>
          <w:tcPr>
            <w:tcW w:w="794" w:type="dxa"/>
            <w:shd w:val="clear" w:color="auto" w:fill="C6D9F1" w:themeFill="text2" w:themeFillTint="33"/>
            <w:vAlign w:val="center"/>
            <w:hideMark/>
          </w:tcPr>
          <w:p w:rsidR="00EE4793" w:rsidRPr="00B509AF" w:rsidRDefault="00EE4793" w:rsidP="00B509AF">
            <w:pPr>
              <w:spacing w:after="0" w:line="240" w:lineRule="auto"/>
              <w:jc w:val="center"/>
              <w:rPr>
                <w:rFonts w:eastAsia="Times New Roman" w:cs="Times New Roman"/>
                <w:b/>
                <w:bCs/>
                <w:color w:val="000000"/>
                <w:sz w:val="20"/>
                <w:szCs w:val="20"/>
                <w:lang w:eastAsia="en-GB"/>
              </w:rPr>
            </w:pPr>
            <w:r w:rsidRPr="00B509AF">
              <w:rPr>
                <w:rFonts w:eastAsia="Times New Roman" w:cs="Times New Roman"/>
                <w:b/>
                <w:bCs/>
                <w:color w:val="000000"/>
                <w:sz w:val="20"/>
                <w:szCs w:val="20"/>
                <w:lang w:eastAsia="en-GB"/>
              </w:rPr>
              <w:t>Ach</w:t>
            </w:r>
          </w:p>
        </w:tc>
        <w:tc>
          <w:tcPr>
            <w:tcW w:w="952" w:type="dxa"/>
            <w:shd w:val="clear" w:color="auto" w:fill="C6D9F1" w:themeFill="text2" w:themeFillTint="33"/>
            <w:vAlign w:val="center"/>
            <w:hideMark/>
          </w:tcPr>
          <w:p w:rsidR="00EE4793" w:rsidRPr="00B509AF" w:rsidRDefault="00EE4793" w:rsidP="00B509AF">
            <w:pPr>
              <w:spacing w:after="0" w:line="240" w:lineRule="auto"/>
              <w:jc w:val="center"/>
              <w:rPr>
                <w:rFonts w:eastAsia="Times New Roman" w:cs="Times New Roman"/>
                <w:b/>
                <w:bCs/>
                <w:color w:val="000000"/>
                <w:sz w:val="20"/>
                <w:szCs w:val="20"/>
                <w:lang w:eastAsia="en-GB"/>
              </w:rPr>
            </w:pPr>
            <w:r w:rsidRPr="00B509AF">
              <w:rPr>
                <w:rFonts w:eastAsia="Times New Roman" w:cs="Times New Roman"/>
                <w:b/>
                <w:bCs/>
                <w:color w:val="000000"/>
                <w:sz w:val="20"/>
                <w:szCs w:val="20"/>
                <w:lang w:eastAsia="en-GB"/>
              </w:rPr>
              <w:t>Students</w:t>
            </w:r>
          </w:p>
        </w:tc>
        <w:tc>
          <w:tcPr>
            <w:tcW w:w="794" w:type="dxa"/>
            <w:shd w:val="clear" w:color="auto" w:fill="C6D9F1" w:themeFill="text2" w:themeFillTint="33"/>
            <w:vAlign w:val="center"/>
            <w:hideMark/>
          </w:tcPr>
          <w:p w:rsidR="00EE4793" w:rsidRPr="00B509AF" w:rsidRDefault="00EE4793" w:rsidP="00B509AF">
            <w:pPr>
              <w:spacing w:after="0" w:line="240" w:lineRule="auto"/>
              <w:jc w:val="center"/>
              <w:rPr>
                <w:rFonts w:eastAsia="Times New Roman" w:cs="Times New Roman"/>
                <w:b/>
                <w:bCs/>
                <w:color w:val="000000"/>
                <w:sz w:val="20"/>
                <w:szCs w:val="20"/>
                <w:lang w:eastAsia="en-GB"/>
              </w:rPr>
            </w:pPr>
            <w:r w:rsidRPr="00B509AF">
              <w:rPr>
                <w:rFonts w:eastAsia="Times New Roman" w:cs="Times New Roman"/>
                <w:b/>
                <w:bCs/>
                <w:color w:val="000000"/>
                <w:sz w:val="20"/>
                <w:szCs w:val="20"/>
                <w:lang w:eastAsia="en-GB"/>
              </w:rPr>
              <w:t>Enrols</w:t>
            </w:r>
          </w:p>
        </w:tc>
        <w:tc>
          <w:tcPr>
            <w:tcW w:w="794" w:type="dxa"/>
            <w:shd w:val="clear" w:color="auto" w:fill="C6D9F1" w:themeFill="text2" w:themeFillTint="33"/>
            <w:vAlign w:val="center"/>
            <w:hideMark/>
          </w:tcPr>
          <w:p w:rsidR="00EE4793" w:rsidRPr="00B509AF" w:rsidRDefault="00EE4793" w:rsidP="00B509AF">
            <w:pPr>
              <w:spacing w:after="0" w:line="240" w:lineRule="auto"/>
              <w:jc w:val="center"/>
              <w:rPr>
                <w:rFonts w:eastAsia="Times New Roman" w:cs="Times New Roman"/>
                <w:b/>
                <w:bCs/>
                <w:color w:val="000000"/>
                <w:sz w:val="20"/>
                <w:szCs w:val="20"/>
                <w:lang w:eastAsia="en-GB"/>
              </w:rPr>
            </w:pPr>
            <w:r w:rsidRPr="00B509AF">
              <w:rPr>
                <w:rFonts w:eastAsia="Times New Roman" w:cs="Times New Roman"/>
                <w:b/>
                <w:bCs/>
                <w:color w:val="000000"/>
                <w:sz w:val="20"/>
                <w:szCs w:val="20"/>
                <w:lang w:eastAsia="en-GB"/>
              </w:rPr>
              <w:t>Ach</w:t>
            </w:r>
          </w:p>
        </w:tc>
        <w:tc>
          <w:tcPr>
            <w:tcW w:w="794" w:type="dxa"/>
            <w:vMerge/>
            <w:shd w:val="clear" w:color="000000" w:fill="BFBFBF"/>
            <w:vAlign w:val="center"/>
            <w:hideMark/>
          </w:tcPr>
          <w:p w:rsidR="00EE4793" w:rsidRPr="00B509AF" w:rsidRDefault="00EE4793" w:rsidP="00B509AF">
            <w:pPr>
              <w:spacing w:after="0" w:line="240" w:lineRule="auto"/>
              <w:rPr>
                <w:rFonts w:eastAsia="Times New Roman" w:cs="Times New Roman"/>
                <w:b/>
                <w:bCs/>
                <w:color w:val="FFFFFF"/>
                <w:sz w:val="20"/>
                <w:szCs w:val="20"/>
                <w:lang w:eastAsia="en-GB"/>
              </w:rPr>
            </w:pPr>
          </w:p>
        </w:tc>
        <w:tc>
          <w:tcPr>
            <w:tcW w:w="952" w:type="dxa"/>
            <w:shd w:val="clear" w:color="auto" w:fill="C6D9F1" w:themeFill="text2" w:themeFillTint="33"/>
            <w:vAlign w:val="center"/>
            <w:hideMark/>
          </w:tcPr>
          <w:p w:rsidR="00EE4793" w:rsidRPr="00B509AF" w:rsidRDefault="00EE4793" w:rsidP="00B509AF">
            <w:pPr>
              <w:spacing w:after="0" w:line="240" w:lineRule="auto"/>
              <w:jc w:val="center"/>
              <w:rPr>
                <w:rFonts w:eastAsia="Times New Roman" w:cs="Times New Roman"/>
                <w:b/>
                <w:bCs/>
                <w:color w:val="000000"/>
                <w:sz w:val="20"/>
                <w:szCs w:val="20"/>
                <w:lang w:eastAsia="en-GB"/>
              </w:rPr>
            </w:pPr>
            <w:r w:rsidRPr="00B509AF">
              <w:rPr>
                <w:rFonts w:eastAsia="Times New Roman" w:cs="Times New Roman"/>
                <w:b/>
                <w:bCs/>
                <w:color w:val="000000"/>
                <w:sz w:val="20"/>
                <w:szCs w:val="20"/>
                <w:lang w:eastAsia="en-GB"/>
              </w:rPr>
              <w:t>Students</w:t>
            </w:r>
          </w:p>
        </w:tc>
        <w:tc>
          <w:tcPr>
            <w:tcW w:w="794" w:type="dxa"/>
            <w:shd w:val="clear" w:color="auto" w:fill="C6D9F1" w:themeFill="text2" w:themeFillTint="33"/>
            <w:vAlign w:val="center"/>
            <w:hideMark/>
          </w:tcPr>
          <w:p w:rsidR="00EE4793" w:rsidRPr="00B509AF" w:rsidRDefault="00EE4793" w:rsidP="00B509AF">
            <w:pPr>
              <w:spacing w:after="0" w:line="240" w:lineRule="auto"/>
              <w:jc w:val="center"/>
              <w:rPr>
                <w:rFonts w:eastAsia="Times New Roman" w:cs="Times New Roman"/>
                <w:b/>
                <w:bCs/>
                <w:color w:val="000000"/>
                <w:sz w:val="20"/>
                <w:szCs w:val="20"/>
                <w:lang w:eastAsia="en-GB"/>
              </w:rPr>
            </w:pPr>
            <w:r w:rsidRPr="00B509AF">
              <w:rPr>
                <w:rFonts w:eastAsia="Times New Roman" w:cs="Times New Roman"/>
                <w:b/>
                <w:bCs/>
                <w:color w:val="000000"/>
                <w:sz w:val="20"/>
                <w:szCs w:val="20"/>
                <w:lang w:eastAsia="en-GB"/>
              </w:rPr>
              <w:t>Enrols</w:t>
            </w:r>
          </w:p>
        </w:tc>
        <w:tc>
          <w:tcPr>
            <w:tcW w:w="794" w:type="dxa"/>
            <w:shd w:val="clear" w:color="auto" w:fill="C6D9F1" w:themeFill="text2" w:themeFillTint="33"/>
            <w:vAlign w:val="center"/>
            <w:hideMark/>
          </w:tcPr>
          <w:p w:rsidR="00EE4793" w:rsidRPr="00B509AF" w:rsidRDefault="00EE4793" w:rsidP="00B509AF">
            <w:pPr>
              <w:spacing w:after="0" w:line="240" w:lineRule="auto"/>
              <w:jc w:val="center"/>
              <w:rPr>
                <w:rFonts w:eastAsia="Times New Roman" w:cs="Times New Roman"/>
                <w:b/>
                <w:bCs/>
                <w:color w:val="000000"/>
                <w:sz w:val="20"/>
                <w:szCs w:val="20"/>
                <w:lang w:eastAsia="en-GB"/>
              </w:rPr>
            </w:pPr>
            <w:r w:rsidRPr="00B509AF">
              <w:rPr>
                <w:rFonts w:eastAsia="Times New Roman" w:cs="Times New Roman"/>
                <w:b/>
                <w:bCs/>
                <w:color w:val="000000"/>
                <w:sz w:val="20"/>
                <w:szCs w:val="20"/>
                <w:lang w:eastAsia="en-GB"/>
              </w:rPr>
              <w:t>Ach</w:t>
            </w:r>
          </w:p>
        </w:tc>
        <w:tc>
          <w:tcPr>
            <w:tcW w:w="794" w:type="dxa"/>
            <w:vMerge/>
            <w:shd w:val="clear" w:color="000000" w:fill="BFBFBF"/>
            <w:vAlign w:val="center"/>
            <w:hideMark/>
          </w:tcPr>
          <w:p w:rsidR="00EE4793" w:rsidRPr="00B509AF" w:rsidRDefault="00EE4793" w:rsidP="00B509AF">
            <w:pPr>
              <w:spacing w:after="0" w:line="240" w:lineRule="auto"/>
              <w:rPr>
                <w:rFonts w:eastAsia="Times New Roman" w:cs="Times New Roman"/>
                <w:b/>
                <w:bCs/>
                <w:color w:val="FFFFFF"/>
                <w:sz w:val="20"/>
                <w:szCs w:val="20"/>
                <w:lang w:eastAsia="en-GB"/>
              </w:rPr>
            </w:pPr>
          </w:p>
        </w:tc>
      </w:tr>
      <w:tr w:rsidR="00EE4793" w:rsidRPr="00B509AF" w:rsidTr="006C180D">
        <w:trPr>
          <w:trHeight w:val="320"/>
        </w:trPr>
        <w:tc>
          <w:tcPr>
            <w:tcW w:w="719" w:type="dxa"/>
            <w:shd w:val="clear" w:color="auto" w:fill="auto"/>
            <w:vAlign w:val="center"/>
            <w:hideMark/>
          </w:tcPr>
          <w:p w:rsidR="00B509AF" w:rsidRPr="00B509AF" w:rsidRDefault="00B509AF" w:rsidP="00B509AF">
            <w:pPr>
              <w:spacing w:after="0" w:line="240" w:lineRule="auto"/>
              <w:rPr>
                <w:rFonts w:eastAsia="Times New Roman" w:cs="Times New Roman"/>
                <w:b/>
                <w:bCs/>
                <w:color w:val="000000"/>
                <w:sz w:val="20"/>
                <w:szCs w:val="20"/>
                <w:lang w:eastAsia="en-GB"/>
              </w:rPr>
            </w:pPr>
            <w:r w:rsidRPr="00B509AF">
              <w:rPr>
                <w:rFonts w:eastAsia="Times New Roman" w:cs="Times New Roman"/>
                <w:b/>
                <w:bCs/>
                <w:color w:val="000000"/>
                <w:sz w:val="20"/>
                <w:szCs w:val="20"/>
                <w:lang w:eastAsia="en-GB"/>
              </w:rPr>
              <w:t>16-18</w:t>
            </w:r>
          </w:p>
        </w:tc>
        <w:tc>
          <w:tcPr>
            <w:tcW w:w="952" w:type="dxa"/>
            <w:shd w:val="clear" w:color="auto" w:fill="auto"/>
            <w:vAlign w:val="center"/>
            <w:hideMark/>
          </w:tcPr>
          <w:p w:rsidR="00B509AF" w:rsidRPr="00B509AF" w:rsidRDefault="006C180D" w:rsidP="006C180D">
            <w:pPr>
              <w:spacing w:after="0" w:line="240" w:lineRule="auto"/>
              <w:jc w:val="center"/>
              <w:rPr>
                <w:rFonts w:eastAsia="Times New Roman" w:cs="Times New Roman"/>
                <w:bCs/>
                <w:color w:val="000000"/>
                <w:sz w:val="20"/>
                <w:szCs w:val="20"/>
                <w:lang w:eastAsia="en-GB"/>
              </w:rPr>
            </w:pPr>
            <w:r w:rsidRPr="006C180D">
              <w:rPr>
                <w:rFonts w:eastAsia="Times New Roman" w:cs="Times New Roman"/>
                <w:bCs/>
                <w:color w:val="000000"/>
                <w:sz w:val="20"/>
                <w:szCs w:val="20"/>
                <w:lang w:eastAsia="en-GB"/>
              </w:rPr>
              <w:t>3,144</w:t>
            </w:r>
          </w:p>
        </w:tc>
        <w:tc>
          <w:tcPr>
            <w:tcW w:w="794" w:type="dxa"/>
            <w:shd w:val="clear" w:color="auto" w:fill="auto"/>
            <w:vAlign w:val="center"/>
            <w:hideMark/>
          </w:tcPr>
          <w:p w:rsidR="00B509AF" w:rsidRPr="00B509AF" w:rsidRDefault="00B509AF" w:rsidP="00B509AF">
            <w:pPr>
              <w:spacing w:after="0" w:line="240" w:lineRule="auto"/>
              <w:jc w:val="center"/>
              <w:rPr>
                <w:rFonts w:eastAsia="Times New Roman" w:cs="Times New Roman"/>
                <w:color w:val="000000"/>
                <w:sz w:val="20"/>
                <w:szCs w:val="20"/>
                <w:lang w:eastAsia="en-GB"/>
              </w:rPr>
            </w:pPr>
            <w:r w:rsidRPr="00B509AF">
              <w:rPr>
                <w:rFonts w:eastAsia="Times New Roman" w:cs="Times New Roman"/>
                <w:color w:val="000000"/>
                <w:sz w:val="20"/>
                <w:szCs w:val="20"/>
                <w:lang w:eastAsia="en-GB"/>
              </w:rPr>
              <w:t xml:space="preserve">6,789 </w:t>
            </w:r>
          </w:p>
        </w:tc>
        <w:tc>
          <w:tcPr>
            <w:tcW w:w="794" w:type="dxa"/>
            <w:shd w:val="clear" w:color="auto" w:fill="auto"/>
            <w:vAlign w:val="center"/>
            <w:hideMark/>
          </w:tcPr>
          <w:p w:rsidR="00B509AF" w:rsidRPr="00B509AF" w:rsidRDefault="00B509AF" w:rsidP="00B509AF">
            <w:pPr>
              <w:spacing w:after="0" w:line="240" w:lineRule="auto"/>
              <w:jc w:val="center"/>
              <w:rPr>
                <w:rFonts w:eastAsia="Times New Roman" w:cs="Times New Roman"/>
                <w:color w:val="000000"/>
                <w:sz w:val="20"/>
                <w:szCs w:val="20"/>
                <w:lang w:eastAsia="en-GB"/>
              </w:rPr>
            </w:pPr>
            <w:r w:rsidRPr="00B509AF">
              <w:rPr>
                <w:rFonts w:eastAsia="Times New Roman" w:cs="Times New Roman"/>
                <w:color w:val="000000"/>
                <w:sz w:val="20"/>
                <w:szCs w:val="20"/>
                <w:lang w:eastAsia="en-GB"/>
              </w:rPr>
              <w:t>81.2%</w:t>
            </w:r>
          </w:p>
        </w:tc>
        <w:tc>
          <w:tcPr>
            <w:tcW w:w="952" w:type="dxa"/>
            <w:shd w:val="clear" w:color="auto" w:fill="auto"/>
            <w:vAlign w:val="center"/>
            <w:hideMark/>
          </w:tcPr>
          <w:p w:rsidR="00B509AF" w:rsidRPr="00B509AF" w:rsidRDefault="00B509AF" w:rsidP="00B509AF">
            <w:pPr>
              <w:spacing w:after="0" w:line="240" w:lineRule="auto"/>
              <w:jc w:val="center"/>
              <w:rPr>
                <w:rFonts w:eastAsia="Times New Roman" w:cs="Times New Roman"/>
                <w:color w:val="000000"/>
                <w:sz w:val="20"/>
                <w:szCs w:val="20"/>
                <w:lang w:eastAsia="en-GB"/>
              </w:rPr>
            </w:pPr>
            <w:r w:rsidRPr="00B509AF">
              <w:rPr>
                <w:rFonts w:eastAsia="Times New Roman" w:cs="Times New Roman"/>
                <w:color w:val="000000"/>
                <w:sz w:val="20"/>
                <w:szCs w:val="20"/>
                <w:lang w:eastAsia="en-GB"/>
              </w:rPr>
              <w:t> </w:t>
            </w:r>
            <w:r w:rsidR="00BF53FB">
              <w:rPr>
                <w:rFonts w:eastAsia="Times New Roman" w:cs="Times New Roman"/>
                <w:color w:val="000000"/>
                <w:sz w:val="20"/>
                <w:szCs w:val="20"/>
                <w:lang w:eastAsia="en-GB"/>
              </w:rPr>
              <w:t>2,987</w:t>
            </w:r>
          </w:p>
        </w:tc>
        <w:tc>
          <w:tcPr>
            <w:tcW w:w="794" w:type="dxa"/>
            <w:shd w:val="clear" w:color="auto" w:fill="auto"/>
            <w:vAlign w:val="center"/>
            <w:hideMark/>
          </w:tcPr>
          <w:p w:rsidR="00B509AF" w:rsidRPr="00B509AF" w:rsidRDefault="00B509AF" w:rsidP="00B509AF">
            <w:pPr>
              <w:spacing w:after="0" w:line="240" w:lineRule="auto"/>
              <w:jc w:val="center"/>
              <w:rPr>
                <w:rFonts w:eastAsia="Times New Roman" w:cs="Times New Roman"/>
                <w:color w:val="000000"/>
                <w:sz w:val="20"/>
                <w:szCs w:val="20"/>
                <w:lang w:eastAsia="en-GB"/>
              </w:rPr>
            </w:pPr>
            <w:r w:rsidRPr="00B509AF">
              <w:rPr>
                <w:rFonts w:eastAsia="Times New Roman" w:cs="Times New Roman"/>
                <w:color w:val="000000"/>
                <w:sz w:val="20"/>
                <w:szCs w:val="20"/>
                <w:lang w:eastAsia="en-GB"/>
              </w:rPr>
              <w:t xml:space="preserve">7,453 </w:t>
            </w:r>
          </w:p>
        </w:tc>
        <w:tc>
          <w:tcPr>
            <w:tcW w:w="794" w:type="dxa"/>
            <w:shd w:val="clear" w:color="auto" w:fill="auto"/>
            <w:vAlign w:val="center"/>
            <w:hideMark/>
          </w:tcPr>
          <w:p w:rsidR="00B509AF" w:rsidRPr="00B509AF" w:rsidRDefault="00B509AF" w:rsidP="00B509AF">
            <w:pPr>
              <w:spacing w:after="0" w:line="240" w:lineRule="auto"/>
              <w:jc w:val="center"/>
              <w:rPr>
                <w:rFonts w:eastAsia="Times New Roman" w:cs="Times New Roman"/>
                <w:color w:val="000000"/>
                <w:sz w:val="20"/>
                <w:szCs w:val="20"/>
                <w:lang w:eastAsia="en-GB"/>
              </w:rPr>
            </w:pPr>
            <w:r w:rsidRPr="00B509AF">
              <w:rPr>
                <w:rFonts w:eastAsia="Times New Roman" w:cs="Times New Roman"/>
                <w:color w:val="000000"/>
                <w:sz w:val="20"/>
                <w:szCs w:val="20"/>
                <w:lang w:eastAsia="en-GB"/>
              </w:rPr>
              <w:t>84.8%</w:t>
            </w:r>
          </w:p>
        </w:tc>
        <w:tc>
          <w:tcPr>
            <w:tcW w:w="794" w:type="dxa"/>
            <w:shd w:val="clear" w:color="000000" w:fill="BFBFBF"/>
            <w:vAlign w:val="center"/>
            <w:hideMark/>
          </w:tcPr>
          <w:p w:rsidR="00B509AF" w:rsidRPr="00B509AF" w:rsidRDefault="00B509AF" w:rsidP="00B509AF">
            <w:pPr>
              <w:spacing w:after="0" w:line="240" w:lineRule="auto"/>
              <w:jc w:val="center"/>
              <w:rPr>
                <w:rFonts w:eastAsia="Times New Roman" w:cs="Times New Roman"/>
                <w:color w:val="000000"/>
                <w:sz w:val="20"/>
                <w:szCs w:val="20"/>
                <w:lang w:eastAsia="en-GB"/>
              </w:rPr>
            </w:pPr>
            <w:r w:rsidRPr="00B509AF">
              <w:rPr>
                <w:rFonts w:eastAsia="Times New Roman" w:cs="Times New Roman"/>
                <w:color w:val="000000"/>
                <w:sz w:val="20"/>
                <w:szCs w:val="20"/>
                <w:lang w:eastAsia="en-GB"/>
              </w:rPr>
              <w:t>81.5%</w:t>
            </w:r>
          </w:p>
        </w:tc>
        <w:tc>
          <w:tcPr>
            <w:tcW w:w="952" w:type="dxa"/>
            <w:shd w:val="clear" w:color="auto" w:fill="auto"/>
            <w:vAlign w:val="center"/>
            <w:hideMark/>
          </w:tcPr>
          <w:p w:rsidR="00B509AF" w:rsidRPr="00B509AF" w:rsidRDefault="00B509AF" w:rsidP="00B509AF">
            <w:pPr>
              <w:spacing w:after="0" w:line="240" w:lineRule="auto"/>
              <w:jc w:val="center"/>
              <w:rPr>
                <w:rFonts w:eastAsia="Times New Roman" w:cs="Times New Roman"/>
                <w:color w:val="000000"/>
                <w:sz w:val="20"/>
                <w:szCs w:val="20"/>
                <w:lang w:eastAsia="en-GB"/>
              </w:rPr>
            </w:pPr>
            <w:r w:rsidRPr="00B509AF">
              <w:rPr>
                <w:rFonts w:eastAsia="Times New Roman" w:cs="Times New Roman"/>
                <w:color w:val="000000"/>
                <w:sz w:val="20"/>
                <w:szCs w:val="20"/>
                <w:lang w:eastAsia="en-GB"/>
              </w:rPr>
              <w:t xml:space="preserve">2,466 </w:t>
            </w:r>
          </w:p>
        </w:tc>
        <w:tc>
          <w:tcPr>
            <w:tcW w:w="794" w:type="dxa"/>
            <w:shd w:val="clear" w:color="auto" w:fill="auto"/>
            <w:vAlign w:val="center"/>
            <w:hideMark/>
          </w:tcPr>
          <w:p w:rsidR="00B509AF" w:rsidRPr="00B509AF" w:rsidRDefault="00B509AF" w:rsidP="00B509AF">
            <w:pPr>
              <w:spacing w:after="0" w:line="240" w:lineRule="auto"/>
              <w:jc w:val="center"/>
              <w:rPr>
                <w:rFonts w:eastAsia="Times New Roman" w:cs="Times New Roman"/>
                <w:color w:val="000000"/>
                <w:sz w:val="20"/>
                <w:szCs w:val="20"/>
                <w:lang w:eastAsia="en-GB"/>
              </w:rPr>
            </w:pPr>
            <w:r w:rsidRPr="00B509AF">
              <w:rPr>
                <w:rFonts w:eastAsia="Times New Roman" w:cs="Times New Roman"/>
                <w:color w:val="000000"/>
                <w:sz w:val="20"/>
                <w:szCs w:val="20"/>
                <w:lang w:eastAsia="en-GB"/>
              </w:rPr>
              <w:t xml:space="preserve">5,123 </w:t>
            </w:r>
          </w:p>
        </w:tc>
        <w:tc>
          <w:tcPr>
            <w:tcW w:w="794" w:type="dxa"/>
            <w:shd w:val="clear" w:color="auto" w:fill="auto"/>
            <w:vAlign w:val="center"/>
            <w:hideMark/>
          </w:tcPr>
          <w:p w:rsidR="00B509AF" w:rsidRPr="00B509AF" w:rsidRDefault="00B509AF" w:rsidP="00B509AF">
            <w:pPr>
              <w:spacing w:after="0" w:line="240" w:lineRule="auto"/>
              <w:jc w:val="center"/>
              <w:rPr>
                <w:rFonts w:eastAsia="Times New Roman" w:cs="Times New Roman"/>
                <w:color w:val="000000"/>
                <w:sz w:val="20"/>
                <w:szCs w:val="20"/>
                <w:lang w:eastAsia="en-GB"/>
              </w:rPr>
            </w:pPr>
            <w:r w:rsidRPr="00B509AF">
              <w:rPr>
                <w:rFonts w:eastAsia="Times New Roman" w:cs="Times New Roman"/>
                <w:color w:val="000000"/>
                <w:sz w:val="20"/>
                <w:szCs w:val="20"/>
                <w:lang w:eastAsia="en-GB"/>
              </w:rPr>
              <w:t>82.8%</w:t>
            </w:r>
          </w:p>
        </w:tc>
        <w:tc>
          <w:tcPr>
            <w:tcW w:w="794" w:type="dxa"/>
            <w:shd w:val="clear" w:color="000000" w:fill="BFBFBF"/>
            <w:vAlign w:val="center"/>
            <w:hideMark/>
          </w:tcPr>
          <w:p w:rsidR="00B509AF" w:rsidRPr="00B509AF" w:rsidRDefault="004D6D36" w:rsidP="00B509AF">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w:t>
            </w:r>
            <w:r w:rsidR="00B509AF" w:rsidRPr="00B509AF">
              <w:rPr>
                <w:rFonts w:eastAsia="Times New Roman" w:cs="Times New Roman"/>
                <w:color w:val="000000"/>
                <w:sz w:val="20"/>
                <w:szCs w:val="20"/>
                <w:lang w:eastAsia="en-GB"/>
              </w:rPr>
              <w:t>1.3%</w:t>
            </w:r>
          </w:p>
        </w:tc>
      </w:tr>
      <w:tr w:rsidR="00EE4793" w:rsidRPr="00B509AF" w:rsidTr="006C180D">
        <w:trPr>
          <w:trHeight w:val="320"/>
        </w:trPr>
        <w:tc>
          <w:tcPr>
            <w:tcW w:w="719" w:type="dxa"/>
            <w:shd w:val="clear" w:color="auto" w:fill="auto"/>
            <w:vAlign w:val="center"/>
            <w:hideMark/>
          </w:tcPr>
          <w:p w:rsidR="00B509AF" w:rsidRPr="00B509AF" w:rsidRDefault="00B509AF" w:rsidP="00B509AF">
            <w:pPr>
              <w:spacing w:after="0" w:line="240" w:lineRule="auto"/>
              <w:rPr>
                <w:rFonts w:eastAsia="Times New Roman" w:cs="Times New Roman"/>
                <w:b/>
                <w:bCs/>
                <w:color w:val="000000"/>
                <w:sz w:val="20"/>
                <w:szCs w:val="20"/>
                <w:lang w:eastAsia="en-GB"/>
              </w:rPr>
            </w:pPr>
            <w:r w:rsidRPr="00B509AF">
              <w:rPr>
                <w:rFonts w:eastAsia="Times New Roman" w:cs="Times New Roman"/>
                <w:b/>
                <w:bCs/>
                <w:color w:val="000000"/>
                <w:sz w:val="20"/>
                <w:szCs w:val="20"/>
                <w:lang w:eastAsia="en-GB"/>
              </w:rPr>
              <w:t>19+</w:t>
            </w:r>
          </w:p>
        </w:tc>
        <w:tc>
          <w:tcPr>
            <w:tcW w:w="952" w:type="dxa"/>
            <w:shd w:val="clear" w:color="auto" w:fill="auto"/>
            <w:vAlign w:val="center"/>
            <w:hideMark/>
          </w:tcPr>
          <w:p w:rsidR="00B509AF" w:rsidRPr="00B509AF" w:rsidRDefault="006C180D" w:rsidP="006C180D">
            <w:pPr>
              <w:spacing w:after="0" w:line="240" w:lineRule="auto"/>
              <w:jc w:val="center"/>
              <w:rPr>
                <w:rFonts w:eastAsia="Times New Roman" w:cs="Times New Roman"/>
                <w:bCs/>
                <w:color w:val="000000"/>
                <w:sz w:val="20"/>
                <w:szCs w:val="20"/>
                <w:lang w:eastAsia="en-GB"/>
              </w:rPr>
            </w:pPr>
            <w:r w:rsidRPr="006C180D">
              <w:rPr>
                <w:rFonts w:eastAsia="Times New Roman" w:cs="Times New Roman"/>
                <w:bCs/>
                <w:color w:val="000000"/>
                <w:sz w:val="20"/>
                <w:szCs w:val="20"/>
                <w:lang w:eastAsia="en-GB"/>
              </w:rPr>
              <w:t>1,395</w:t>
            </w:r>
          </w:p>
        </w:tc>
        <w:tc>
          <w:tcPr>
            <w:tcW w:w="794" w:type="dxa"/>
            <w:shd w:val="clear" w:color="auto" w:fill="auto"/>
            <w:vAlign w:val="center"/>
            <w:hideMark/>
          </w:tcPr>
          <w:p w:rsidR="00B509AF" w:rsidRPr="00B509AF" w:rsidRDefault="00B509AF" w:rsidP="00B509AF">
            <w:pPr>
              <w:spacing w:after="0" w:line="240" w:lineRule="auto"/>
              <w:jc w:val="center"/>
              <w:rPr>
                <w:rFonts w:eastAsia="Times New Roman" w:cs="Times New Roman"/>
                <w:color w:val="000000"/>
                <w:sz w:val="20"/>
                <w:szCs w:val="20"/>
                <w:lang w:eastAsia="en-GB"/>
              </w:rPr>
            </w:pPr>
            <w:r w:rsidRPr="00B509AF">
              <w:rPr>
                <w:rFonts w:eastAsia="Times New Roman" w:cs="Times New Roman"/>
                <w:color w:val="000000"/>
                <w:sz w:val="20"/>
                <w:szCs w:val="20"/>
                <w:lang w:eastAsia="en-GB"/>
              </w:rPr>
              <w:t xml:space="preserve">2,051 </w:t>
            </w:r>
          </w:p>
        </w:tc>
        <w:tc>
          <w:tcPr>
            <w:tcW w:w="794" w:type="dxa"/>
            <w:shd w:val="clear" w:color="auto" w:fill="auto"/>
            <w:vAlign w:val="center"/>
            <w:hideMark/>
          </w:tcPr>
          <w:p w:rsidR="00B509AF" w:rsidRPr="00B509AF" w:rsidRDefault="00B509AF" w:rsidP="00B509AF">
            <w:pPr>
              <w:spacing w:after="0" w:line="240" w:lineRule="auto"/>
              <w:jc w:val="center"/>
              <w:rPr>
                <w:rFonts w:eastAsia="Times New Roman" w:cs="Times New Roman"/>
                <w:color w:val="000000"/>
                <w:sz w:val="20"/>
                <w:szCs w:val="20"/>
                <w:lang w:eastAsia="en-GB"/>
              </w:rPr>
            </w:pPr>
            <w:r w:rsidRPr="00B509AF">
              <w:rPr>
                <w:rFonts w:eastAsia="Times New Roman" w:cs="Times New Roman"/>
                <w:color w:val="000000"/>
                <w:sz w:val="20"/>
                <w:szCs w:val="20"/>
                <w:lang w:eastAsia="en-GB"/>
              </w:rPr>
              <w:t>89.0%</w:t>
            </w:r>
          </w:p>
        </w:tc>
        <w:tc>
          <w:tcPr>
            <w:tcW w:w="952" w:type="dxa"/>
            <w:shd w:val="clear" w:color="auto" w:fill="auto"/>
            <w:vAlign w:val="center"/>
            <w:hideMark/>
          </w:tcPr>
          <w:p w:rsidR="00B509AF" w:rsidRPr="00B509AF" w:rsidRDefault="00B509AF" w:rsidP="00B509AF">
            <w:pPr>
              <w:spacing w:after="0" w:line="240" w:lineRule="auto"/>
              <w:jc w:val="center"/>
              <w:rPr>
                <w:rFonts w:eastAsia="Times New Roman" w:cs="Times New Roman"/>
                <w:color w:val="000000"/>
                <w:sz w:val="20"/>
                <w:szCs w:val="20"/>
                <w:lang w:eastAsia="en-GB"/>
              </w:rPr>
            </w:pPr>
            <w:r w:rsidRPr="00B509AF">
              <w:rPr>
                <w:rFonts w:eastAsia="Times New Roman" w:cs="Times New Roman"/>
                <w:color w:val="000000"/>
                <w:sz w:val="20"/>
                <w:szCs w:val="20"/>
                <w:lang w:eastAsia="en-GB"/>
              </w:rPr>
              <w:t> </w:t>
            </w:r>
            <w:r w:rsidR="00BF53FB">
              <w:rPr>
                <w:rFonts w:eastAsia="Times New Roman" w:cs="Times New Roman"/>
                <w:color w:val="000000"/>
                <w:sz w:val="20"/>
                <w:szCs w:val="20"/>
                <w:lang w:eastAsia="en-GB"/>
              </w:rPr>
              <w:t>1,309</w:t>
            </w:r>
          </w:p>
        </w:tc>
        <w:tc>
          <w:tcPr>
            <w:tcW w:w="794" w:type="dxa"/>
            <w:shd w:val="clear" w:color="auto" w:fill="auto"/>
            <w:vAlign w:val="center"/>
            <w:hideMark/>
          </w:tcPr>
          <w:p w:rsidR="00B509AF" w:rsidRPr="00B509AF" w:rsidRDefault="00B509AF" w:rsidP="00B509AF">
            <w:pPr>
              <w:spacing w:after="0" w:line="240" w:lineRule="auto"/>
              <w:jc w:val="center"/>
              <w:rPr>
                <w:rFonts w:eastAsia="Times New Roman" w:cs="Times New Roman"/>
                <w:color w:val="000000"/>
                <w:sz w:val="20"/>
                <w:szCs w:val="20"/>
                <w:lang w:eastAsia="en-GB"/>
              </w:rPr>
            </w:pPr>
            <w:r w:rsidRPr="00B509AF">
              <w:rPr>
                <w:rFonts w:eastAsia="Times New Roman" w:cs="Times New Roman"/>
                <w:color w:val="000000"/>
                <w:sz w:val="20"/>
                <w:szCs w:val="20"/>
                <w:lang w:eastAsia="en-GB"/>
              </w:rPr>
              <w:t xml:space="preserve">1,976 </w:t>
            </w:r>
          </w:p>
        </w:tc>
        <w:tc>
          <w:tcPr>
            <w:tcW w:w="794" w:type="dxa"/>
            <w:shd w:val="clear" w:color="auto" w:fill="auto"/>
            <w:vAlign w:val="center"/>
            <w:hideMark/>
          </w:tcPr>
          <w:p w:rsidR="00B509AF" w:rsidRPr="00B509AF" w:rsidRDefault="00B509AF" w:rsidP="00B509AF">
            <w:pPr>
              <w:spacing w:after="0" w:line="240" w:lineRule="auto"/>
              <w:jc w:val="center"/>
              <w:rPr>
                <w:rFonts w:eastAsia="Times New Roman" w:cs="Times New Roman"/>
                <w:color w:val="000000"/>
                <w:sz w:val="20"/>
                <w:szCs w:val="20"/>
                <w:lang w:eastAsia="en-GB"/>
              </w:rPr>
            </w:pPr>
            <w:r w:rsidRPr="00B509AF">
              <w:rPr>
                <w:rFonts w:eastAsia="Times New Roman" w:cs="Times New Roman"/>
                <w:color w:val="000000"/>
                <w:sz w:val="20"/>
                <w:szCs w:val="20"/>
                <w:lang w:eastAsia="en-GB"/>
              </w:rPr>
              <w:t>86.1%</w:t>
            </w:r>
          </w:p>
        </w:tc>
        <w:tc>
          <w:tcPr>
            <w:tcW w:w="794" w:type="dxa"/>
            <w:shd w:val="clear" w:color="000000" w:fill="BFBFBF"/>
            <w:vAlign w:val="center"/>
            <w:hideMark/>
          </w:tcPr>
          <w:p w:rsidR="00B509AF" w:rsidRPr="00B509AF" w:rsidRDefault="00B509AF" w:rsidP="00B509AF">
            <w:pPr>
              <w:spacing w:after="0" w:line="240" w:lineRule="auto"/>
              <w:jc w:val="center"/>
              <w:rPr>
                <w:rFonts w:eastAsia="Times New Roman" w:cs="Times New Roman"/>
                <w:color w:val="000000"/>
                <w:sz w:val="20"/>
                <w:szCs w:val="20"/>
                <w:lang w:eastAsia="en-GB"/>
              </w:rPr>
            </w:pPr>
            <w:r w:rsidRPr="00B509AF">
              <w:rPr>
                <w:rFonts w:eastAsia="Times New Roman" w:cs="Times New Roman"/>
                <w:color w:val="000000"/>
                <w:sz w:val="20"/>
                <w:szCs w:val="20"/>
                <w:lang w:eastAsia="en-GB"/>
              </w:rPr>
              <w:t>87.9%</w:t>
            </w:r>
          </w:p>
        </w:tc>
        <w:tc>
          <w:tcPr>
            <w:tcW w:w="952" w:type="dxa"/>
            <w:shd w:val="clear" w:color="auto" w:fill="auto"/>
            <w:vAlign w:val="center"/>
            <w:hideMark/>
          </w:tcPr>
          <w:p w:rsidR="00B509AF" w:rsidRPr="00B509AF" w:rsidRDefault="00B509AF" w:rsidP="00B509AF">
            <w:pPr>
              <w:spacing w:after="0" w:line="240" w:lineRule="auto"/>
              <w:jc w:val="center"/>
              <w:rPr>
                <w:rFonts w:eastAsia="Times New Roman" w:cs="Times New Roman"/>
                <w:color w:val="000000"/>
                <w:sz w:val="20"/>
                <w:szCs w:val="20"/>
                <w:lang w:eastAsia="en-GB"/>
              </w:rPr>
            </w:pPr>
            <w:r w:rsidRPr="00B509AF">
              <w:rPr>
                <w:rFonts w:eastAsia="Times New Roman" w:cs="Times New Roman"/>
                <w:color w:val="000000"/>
                <w:sz w:val="20"/>
                <w:szCs w:val="20"/>
                <w:lang w:eastAsia="en-GB"/>
              </w:rPr>
              <w:t xml:space="preserve">1,256 </w:t>
            </w:r>
          </w:p>
        </w:tc>
        <w:tc>
          <w:tcPr>
            <w:tcW w:w="794" w:type="dxa"/>
            <w:shd w:val="clear" w:color="auto" w:fill="auto"/>
            <w:vAlign w:val="center"/>
            <w:hideMark/>
          </w:tcPr>
          <w:p w:rsidR="00B509AF" w:rsidRPr="00B509AF" w:rsidRDefault="00B509AF" w:rsidP="00B509AF">
            <w:pPr>
              <w:spacing w:after="0" w:line="240" w:lineRule="auto"/>
              <w:jc w:val="center"/>
              <w:rPr>
                <w:rFonts w:eastAsia="Times New Roman" w:cs="Times New Roman"/>
                <w:color w:val="000000"/>
                <w:sz w:val="20"/>
                <w:szCs w:val="20"/>
                <w:lang w:eastAsia="en-GB"/>
              </w:rPr>
            </w:pPr>
            <w:r w:rsidRPr="00B509AF">
              <w:rPr>
                <w:rFonts w:eastAsia="Times New Roman" w:cs="Times New Roman"/>
                <w:color w:val="000000"/>
                <w:sz w:val="20"/>
                <w:szCs w:val="20"/>
                <w:lang w:eastAsia="en-GB"/>
              </w:rPr>
              <w:t xml:space="preserve">1,686 </w:t>
            </w:r>
          </w:p>
        </w:tc>
        <w:tc>
          <w:tcPr>
            <w:tcW w:w="794" w:type="dxa"/>
            <w:shd w:val="clear" w:color="auto" w:fill="auto"/>
            <w:vAlign w:val="center"/>
            <w:hideMark/>
          </w:tcPr>
          <w:p w:rsidR="00B509AF" w:rsidRPr="00B509AF" w:rsidRDefault="00B509AF" w:rsidP="00B509AF">
            <w:pPr>
              <w:spacing w:after="0" w:line="240" w:lineRule="auto"/>
              <w:jc w:val="center"/>
              <w:rPr>
                <w:rFonts w:eastAsia="Times New Roman" w:cs="Times New Roman"/>
                <w:color w:val="000000"/>
                <w:sz w:val="20"/>
                <w:szCs w:val="20"/>
                <w:lang w:eastAsia="en-GB"/>
              </w:rPr>
            </w:pPr>
            <w:r w:rsidRPr="00B509AF">
              <w:rPr>
                <w:rFonts w:eastAsia="Times New Roman" w:cs="Times New Roman"/>
                <w:color w:val="000000"/>
                <w:sz w:val="20"/>
                <w:szCs w:val="20"/>
                <w:lang w:eastAsia="en-GB"/>
              </w:rPr>
              <w:t>82.4%</w:t>
            </w:r>
          </w:p>
        </w:tc>
        <w:tc>
          <w:tcPr>
            <w:tcW w:w="794" w:type="dxa"/>
            <w:shd w:val="clear" w:color="000000" w:fill="BFBFBF"/>
            <w:vAlign w:val="center"/>
            <w:hideMark/>
          </w:tcPr>
          <w:p w:rsidR="00B509AF" w:rsidRPr="00B509AF" w:rsidRDefault="00B509AF" w:rsidP="00B509AF">
            <w:pPr>
              <w:spacing w:after="0" w:line="240" w:lineRule="auto"/>
              <w:jc w:val="center"/>
              <w:rPr>
                <w:rFonts w:eastAsia="Times New Roman" w:cs="Times New Roman"/>
                <w:color w:val="000000"/>
                <w:sz w:val="20"/>
                <w:szCs w:val="20"/>
                <w:lang w:eastAsia="en-GB"/>
              </w:rPr>
            </w:pPr>
            <w:r w:rsidRPr="00B509AF">
              <w:rPr>
                <w:rFonts w:eastAsia="Times New Roman" w:cs="Times New Roman"/>
                <w:color w:val="000000"/>
                <w:sz w:val="20"/>
                <w:szCs w:val="20"/>
                <w:lang w:eastAsia="en-GB"/>
              </w:rPr>
              <w:t>-5.5%</w:t>
            </w:r>
          </w:p>
        </w:tc>
      </w:tr>
      <w:tr w:rsidR="00EE4793" w:rsidRPr="00B509AF" w:rsidTr="006C180D">
        <w:trPr>
          <w:trHeight w:val="320"/>
        </w:trPr>
        <w:tc>
          <w:tcPr>
            <w:tcW w:w="719" w:type="dxa"/>
            <w:shd w:val="clear" w:color="000000" w:fill="D9D9D9"/>
            <w:vAlign w:val="center"/>
            <w:hideMark/>
          </w:tcPr>
          <w:p w:rsidR="00B509AF" w:rsidRPr="00B509AF" w:rsidRDefault="00B509AF" w:rsidP="00B509AF">
            <w:pPr>
              <w:spacing w:after="0" w:line="240" w:lineRule="auto"/>
              <w:rPr>
                <w:rFonts w:eastAsia="Times New Roman" w:cs="Times New Roman"/>
                <w:b/>
                <w:bCs/>
                <w:color w:val="000000"/>
                <w:sz w:val="20"/>
                <w:szCs w:val="20"/>
                <w:lang w:eastAsia="en-GB"/>
              </w:rPr>
            </w:pPr>
            <w:r w:rsidRPr="00B509AF">
              <w:rPr>
                <w:rFonts w:eastAsia="Times New Roman" w:cs="Times New Roman"/>
                <w:b/>
                <w:bCs/>
                <w:color w:val="000000"/>
                <w:sz w:val="20"/>
                <w:szCs w:val="20"/>
                <w:lang w:eastAsia="en-GB"/>
              </w:rPr>
              <w:t>GAP</w:t>
            </w:r>
          </w:p>
        </w:tc>
        <w:tc>
          <w:tcPr>
            <w:tcW w:w="952" w:type="dxa"/>
            <w:shd w:val="clear" w:color="000000" w:fill="D9D9D9"/>
            <w:vAlign w:val="center"/>
            <w:hideMark/>
          </w:tcPr>
          <w:p w:rsidR="00B509AF" w:rsidRPr="00B509AF" w:rsidRDefault="006C180D" w:rsidP="006C180D">
            <w:pPr>
              <w:spacing w:after="0" w:line="240" w:lineRule="auto"/>
              <w:jc w:val="center"/>
              <w:rPr>
                <w:rFonts w:eastAsia="Times New Roman" w:cs="Times New Roman"/>
                <w:bCs/>
                <w:color w:val="000000"/>
                <w:sz w:val="20"/>
                <w:szCs w:val="20"/>
                <w:lang w:eastAsia="en-GB"/>
              </w:rPr>
            </w:pPr>
            <w:r>
              <w:rPr>
                <w:rFonts w:eastAsia="Times New Roman" w:cs="Times New Roman"/>
                <w:bCs/>
                <w:color w:val="000000"/>
                <w:sz w:val="20"/>
                <w:szCs w:val="20"/>
                <w:lang w:eastAsia="en-GB"/>
              </w:rPr>
              <w:t>1,749</w:t>
            </w:r>
          </w:p>
        </w:tc>
        <w:tc>
          <w:tcPr>
            <w:tcW w:w="794" w:type="dxa"/>
            <w:shd w:val="clear" w:color="000000" w:fill="D9D9D9"/>
            <w:vAlign w:val="center"/>
            <w:hideMark/>
          </w:tcPr>
          <w:p w:rsidR="00B509AF" w:rsidRPr="00B509AF" w:rsidRDefault="00B509AF" w:rsidP="00B509AF">
            <w:pPr>
              <w:spacing w:after="0" w:line="240" w:lineRule="auto"/>
              <w:jc w:val="center"/>
              <w:rPr>
                <w:rFonts w:eastAsia="Times New Roman" w:cs="Times New Roman"/>
                <w:b/>
                <w:bCs/>
                <w:color w:val="000000"/>
                <w:sz w:val="20"/>
                <w:szCs w:val="20"/>
                <w:lang w:eastAsia="en-GB"/>
              </w:rPr>
            </w:pPr>
            <w:r w:rsidRPr="00B509AF">
              <w:rPr>
                <w:rFonts w:eastAsia="Times New Roman" w:cs="Times New Roman"/>
                <w:b/>
                <w:bCs/>
                <w:color w:val="000000"/>
                <w:sz w:val="20"/>
                <w:szCs w:val="20"/>
                <w:lang w:eastAsia="en-GB"/>
              </w:rPr>
              <w:t xml:space="preserve">4,738 </w:t>
            </w:r>
          </w:p>
        </w:tc>
        <w:tc>
          <w:tcPr>
            <w:tcW w:w="794" w:type="dxa"/>
            <w:shd w:val="clear" w:color="000000" w:fill="D9D9D9"/>
            <w:vAlign w:val="center"/>
            <w:hideMark/>
          </w:tcPr>
          <w:p w:rsidR="00B509AF" w:rsidRPr="00B509AF" w:rsidRDefault="00B509AF" w:rsidP="00B509AF">
            <w:pPr>
              <w:spacing w:after="0" w:line="240" w:lineRule="auto"/>
              <w:jc w:val="center"/>
              <w:rPr>
                <w:rFonts w:eastAsia="Times New Roman" w:cs="Times New Roman"/>
                <w:b/>
                <w:bCs/>
                <w:color w:val="000000"/>
                <w:sz w:val="20"/>
                <w:szCs w:val="20"/>
                <w:lang w:eastAsia="en-GB"/>
              </w:rPr>
            </w:pPr>
            <w:r w:rsidRPr="00B509AF">
              <w:rPr>
                <w:rFonts w:eastAsia="Times New Roman" w:cs="Times New Roman"/>
                <w:b/>
                <w:bCs/>
                <w:color w:val="000000"/>
                <w:sz w:val="20"/>
                <w:szCs w:val="20"/>
                <w:lang w:eastAsia="en-GB"/>
              </w:rPr>
              <w:t>7.8%</w:t>
            </w:r>
          </w:p>
        </w:tc>
        <w:tc>
          <w:tcPr>
            <w:tcW w:w="952" w:type="dxa"/>
            <w:shd w:val="clear" w:color="000000" w:fill="D9D9D9"/>
            <w:vAlign w:val="center"/>
            <w:hideMark/>
          </w:tcPr>
          <w:p w:rsidR="00B509AF" w:rsidRPr="00B509AF" w:rsidRDefault="00BF53FB" w:rsidP="00B509AF">
            <w:pPr>
              <w:spacing w:after="0" w:line="240" w:lineRule="auto"/>
              <w:jc w:val="center"/>
              <w:rPr>
                <w:rFonts w:eastAsia="Times New Roman" w:cs="Times New Roman"/>
                <w:b/>
                <w:bCs/>
                <w:color w:val="000000"/>
                <w:sz w:val="20"/>
                <w:szCs w:val="20"/>
                <w:lang w:eastAsia="en-GB"/>
              </w:rPr>
            </w:pPr>
            <w:r>
              <w:rPr>
                <w:rFonts w:eastAsia="Times New Roman" w:cs="Times New Roman"/>
                <w:b/>
                <w:bCs/>
                <w:color w:val="000000"/>
                <w:sz w:val="20"/>
                <w:szCs w:val="20"/>
                <w:lang w:eastAsia="en-GB"/>
              </w:rPr>
              <w:t>1,678</w:t>
            </w:r>
          </w:p>
        </w:tc>
        <w:tc>
          <w:tcPr>
            <w:tcW w:w="794" w:type="dxa"/>
            <w:shd w:val="clear" w:color="000000" w:fill="D9D9D9"/>
            <w:vAlign w:val="center"/>
            <w:hideMark/>
          </w:tcPr>
          <w:p w:rsidR="00B509AF" w:rsidRPr="00B509AF" w:rsidRDefault="00B509AF" w:rsidP="00B509AF">
            <w:pPr>
              <w:spacing w:after="0" w:line="240" w:lineRule="auto"/>
              <w:jc w:val="center"/>
              <w:rPr>
                <w:rFonts w:eastAsia="Times New Roman" w:cs="Times New Roman"/>
                <w:b/>
                <w:bCs/>
                <w:color w:val="000000"/>
                <w:sz w:val="20"/>
                <w:szCs w:val="20"/>
                <w:lang w:eastAsia="en-GB"/>
              </w:rPr>
            </w:pPr>
            <w:r w:rsidRPr="00B509AF">
              <w:rPr>
                <w:rFonts w:eastAsia="Times New Roman" w:cs="Times New Roman"/>
                <w:b/>
                <w:bCs/>
                <w:color w:val="000000"/>
                <w:sz w:val="20"/>
                <w:szCs w:val="20"/>
                <w:lang w:eastAsia="en-GB"/>
              </w:rPr>
              <w:t xml:space="preserve">5,477 </w:t>
            </w:r>
          </w:p>
        </w:tc>
        <w:tc>
          <w:tcPr>
            <w:tcW w:w="794" w:type="dxa"/>
            <w:shd w:val="clear" w:color="000000" w:fill="D9D9D9"/>
            <w:vAlign w:val="center"/>
            <w:hideMark/>
          </w:tcPr>
          <w:p w:rsidR="00B509AF" w:rsidRPr="00B509AF" w:rsidRDefault="00B509AF" w:rsidP="00B509AF">
            <w:pPr>
              <w:spacing w:after="0" w:line="240" w:lineRule="auto"/>
              <w:jc w:val="center"/>
              <w:rPr>
                <w:rFonts w:eastAsia="Times New Roman" w:cs="Times New Roman"/>
                <w:b/>
                <w:bCs/>
                <w:color w:val="000000"/>
                <w:sz w:val="20"/>
                <w:szCs w:val="20"/>
                <w:lang w:eastAsia="en-GB"/>
              </w:rPr>
            </w:pPr>
            <w:r w:rsidRPr="00B509AF">
              <w:rPr>
                <w:rFonts w:eastAsia="Times New Roman" w:cs="Times New Roman"/>
                <w:b/>
                <w:bCs/>
                <w:color w:val="000000"/>
                <w:sz w:val="20"/>
                <w:szCs w:val="20"/>
                <w:lang w:eastAsia="en-GB"/>
              </w:rPr>
              <w:t>1.3%</w:t>
            </w:r>
          </w:p>
        </w:tc>
        <w:tc>
          <w:tcPr>
            <w:tcW w:w="794" w:type="dxa"/>
            <w:shd w:val="clear" w:color="000000" w:fill="BFBFBF"/>
            <w:vAlign w:val="center"/>
            <w:hideMark/>
          </w:tcPr>
          <w:p w:rsidR="00B509AF" w:rsidRPr="00B509AF" w:rsidRDefault="00B509AF" w:rsidP="00B509AF">
            <w:pPr>
              <w:spacing w:after="0" w:line="240" w:lineRule="auto"/>
              <w:jc w:val="center"/>
              <w:rPr>
                <w:rFonts w:eastAsia="Times New Roman" w:cs="Times New Roman"/>
                <w:b/>
                <w:bCs/>
                <w:color w:val="000000"/>
                <w:sz w:val="20"/>
                <w:szCs w:val="20"/>
                <w:lang w:eastAsia="en-GB"/>
              </w:rPr>
            </w:pPr>
            <w:r w:rsidRPr="00B509AF">
              <w:rPr>
                <w:rFonts w:eastAsia="Times New Roman" w:cs="Times New Roman"/>
                <w:b/>
                <w:bCs/>
                <w:color w:val="000000"/>
                <w:sz w:val="20"/>
                <w:szCs w:val="20"/>
                <w:lang w:eastAsia="en-GB"/>
              </w:rPr>
              <w:t>6.4%</w:t>
            </w:r>
          </w:p>
        </w:tc>
        <w:tc>
          <w:tcPr>
            <w:tcW w:w="952" w:type="dxa"/>
            <w:shd w:val="clear" w:color="000000" w:fill="D9D9D9"/>
            <w:vAlign w:val="center"/>
            <w:hideMark/>
          </w:tcPr>
          <w:p w:rsidR="00B509AF" w:rsidRPr="00B509AF" w:rsidRDefault="00B509AF" w:rsidP="00B509AF">
            <w:pPr>
              <w:spacing w:after="0" w:line="240" w:lineRule="auto"/>
              <w:jc w:val="center"/>
              <w:rPr>
                <w:rFonts w:eastAsia="Times New Roman" w:cs="Times New Roman"/>
                <w:b/>
                <w:bCs/>
                <w:color w:val="000000"/>
                <w:sz w:val="20"/>
                <w:szCs w:val="20"/>
                <w:lang w:eastAsia="en-GB"/>
              </w:rPr>
            </w:pPr>
            <w:r w:rsidRPr="00B509AF">
              <w:rPr>
                <w:rFonts w:eastAsia="Times New Roman" w:cs="Times New Roman"/>
                <w:b/>
                <w:bCs/>
                <w:color w:val="000000"/>
                <w:sz w:val="20"/>
                <w:szCs w:val="20"/>
                <w:lang w:eastAsia="en-GB"/>
              </w:rPr>
              <w:t xml:space="preserve">1,210 </w:t>
            </w:r>
          </w:p>
        </w:tc>
        <w:tc>
          <w:tcPr>
            <w:tcW w:w="794" w:type="dxa"/>
            <w:shd w:val="clear" w:color="000000" w:fill="D9D9D9"/>
            <w:vAlign w:val="center"/>
            <w:hideMark/>
          </w:tcPr>
          <w:p w:rsidR="00B509AF" w:rsidRPr="00B509AF" w:rsidRDefault="00B509AF" w:rsidP="00B509AF">
            <w:pPr>
              <w:spacing w:after="0" w:line="240" w:lineRule="auto"/>
              <w:jc w:val="center"/>
              <w:rPr>
                <w:rFonts w:eastAsia="Times New Roman" w:cs="Times New Roman"/>
                <w:b/>
                <w:bCs/>
                <w:color w:val="000000"/>
                <w:sz w:val="20"/>
                <w:szCs w:val="20"/>
                <w:lang w:eastAsia="en-GB"/>
              </w:rPr>
            </w:pPr>
            <w:r w:rsidRPr="00B509AF">
              <w:rPr>
                <w:rFonts w:eastAsia="Times New Roman" w:cs="Times New Roman"/>
                <w:b/>
                <w:bCs/>
                <w:color w:val="000000"/>
                <w:sz w:val="20"/>
                <w:szCs w:val="20"/>
                <w:lang w:eastAsia="en-GB"/>
              </w:rPr>
              <w:t xml:space="preserve">3,437 </w:t>
            </w:r>
          </w:p>
        </w:tc>
        <w:tc>
          <w:tcPr>
            <w:tcW w:w="794" w:type="dxa"/>
            <w:shd w:val="clear" w:color="000000" w:fill="D9D9D9"/>
            <w:vAlign w:val="center"/>
            <w:hideMark/>
          </w:tcPr>
          <w:p w:rsidR="00B509AF" w:rsidRPr="00B509AF" w:rsidRDefault="00B509AF" w:rsidP="00B509AF">
            <w:pPr>
              <w:spacing w:after="0" w:line="240" w:lineRule="auto"/>
              <w:jc w:val="center"/>
              <w:rPr>
                <w:rFonts w:eastAsia="Times New Roman" w:cs="Times New Roman"/>
                <w:b/>
                <w:bCs/>
                <w:color w:val="000000"/>
                <w:sz w:val="20"/>
                <w:szCs w:val="20"/>
                <w:lang w:eastAsia="en-GB"/>
              </w:rPr>
            </w:pPr>
            <w:r w:rsidRPr="00B509AF">
              <w:rPr>
                <w:rFonts w:eastAsia="Times New Roman" w:cs="Times New Roman"/>
                <w:b/>
                <w:bCs/>
                <w:color w:val="000000"/>
                <w:sz w:val="20"/>
                <w:szCs w:val="20"/>
                <w:lang w:eastAsia="en-GB"/>
              </w:rPr>
              <w:t>0.4%</w:t>
            </w:r>
          </w:p>
        </w:tc>
        <w:tc>
          <w:tcPr>
            <w:tcW w:w="794" w:type="dxa"/>
            <w:shd w:val="clear" w:color="000000" w:fill="BFBFBF"/>
            <w:vAlign w:val="center"/>
            <w:hideMark/>
          </w:tcPr>
          <w:p w:rsidR="00B509AF" w:rsidRPr="00B509AF" w:rsidRDefault="00B509AF" w:rsidP="00B509AF">
            <w:pPr>
              <w:spacing w:after="0" w:line="240" w:lineRule="auto"/>
              <w:jc w:val="center"/>
              <w:rPr>
                <w:rFonts w:eastAsia="Times New Roman" w:cs="Times New Roman"/>
                <w:b/>
                <w:bCs/>
                <w:color w:val="000000"/>
                <w:sz w:val="20"/>
                <w:szCs w:val="20"/>
                <w:lang w:eastAsia="en-GB"/>
              </w:rPr>
            </w:pPr>
            <w:r w:rsidRPr="00B509AF">
              <w:rPr>
                <w:rFonts w:eastAsia="Times New Roman" w:cs="Times New Roman"/>
                <w:b/>
                <w:bCs/>
                <w:color w:val="000000"/>
                <w:sz w:val="20"/>
                <w:szCs w:val="20"/>
                <w:lang w:eastAsia="en-GB"/>
              </w:rPr>
              <w:t>-6.8%</w:t>
            </w:r>
          </w:p>
        </w:tc>
      </w:tr>
    </w:tbl>
    <w:p w:rsidR="00B509AF" w:rsidRDefault="00B509AF" w:rsidP="009640EE">
      <w:pPr>
        <w:spacing w:after="120" w:line="240" w:lineRule="auto"/>
        <w:rPr>
          <w:rFonts w:eastAsia="Calibri" w:cstheme="minorHAnsi"/>
        </w:rPr>
      </w:pPr>
    </w:p>
    <w:p w:rsidR="009640EE" w:rsidRPr="009640EE" w:rsidRDefault="009640EE" w:rsidP="009640EE">
      <w:pPr>
        <w:spacing w:after="120" w:line="240" w:lineRule="auto"/>
        <w:rPr>
          <w:rFonts w:eastAsia="Calibri" w:cstheme="minorHAnsi"/>
        </w:rPr>
      </w:pPr>
      <w:r w:rsidRPr="009640EE">
        <w:rPr>
          <w:rFonts w:eastAsia="Calibri" w:cstheme="minorHAnsi"/>
        </w:rPr>
        <w:t xml:space="preserve">There are </w:t>
      </w:r>
      <w:r w:rsidRPr="009640EE">
        <w:rPr>
          <w:rFonts w:eastAsia="Calibri" w:cstheme="minorHAnsi"/>
          <w:b/>
        </w:rPr>
        <w:t>no achievement gaps</w:t>
      </w:r>
      <w:r w:rsidRPr="009640EE">
        <w:rPr>
          <w:rFonts w:eastAsia="Calibri" w:cstheme="minorHAnsi"/>
        </w:rPr>
        <w:t xml:space="preserve"> by age. Both age groups have declined, whilst 16-18 achievement rates have been impacted by the removal of a number of smaller additionality qualifications, these remain strong at 1.</w:t>
      </w:r>
      <w:r w:rsidR="00341605">
        <w:rPr>
          <w:rFonts w:eastAsia="Calibri" w:cstheme="minorHAnsi"/>
        </w:rPr>
        <w:t>3</w:t>
      </w:r>
      <w:r w:rsidRPr="009640EE">
        <w:rPr>
          <w:rFonts w:eastAsia="Calibri" w:cstheme="minorHAnsi"/>
        </w:rPr>
        <w:t>% above national average. Adult achievement has declined and is now 5.</w:t>
      </w:r>
      <w:r w:rsidR="00341605">
        <w:rPr>
          <w:rFonts w:eastAsia="Calibri" w:cstheme="minorHAnsi"/>
        </w:rPr>
        <w:t>5</w:t>
      </w:r>
      <w:r w:rsidRPr="009640EE">
        <w:rPr>
          <w:rFonts w:eastAsia="Calibri" w:cstheme="minorHAnsi"/>
        </w:rPr>
        <w:t xml:space="preserve">% </w:t>
      </w:r>
      <w:r w:rsidR="00F02B3A">
        <w:rPr>
          <w:rFonts w:eastAsia="Calibri" w:cstheme="minorHAnsi"/>
        </w:rPr>
        <w:t xml:space="preserve">below provider national average, this is particularly linked to English and maths. </w:t>
      </w:r>
    </w:p>
    <w:p w:rsidR="009640EE" w:rsidRPr="009640EE" w:rsidRDefault="009640EE" w:rsidP="009640EE">
      <w:pPr>
        <w:spacing w:after="120" w:line="240" w:lineRule="auto"/>
        <w:rPr>
          <w:rFonts w:cstheme="minorHAnsi"/>
          <w:b/>
        </w:rPr>
      </w:pPr>
    </w:p>
    <w:p w:rsidR="009640EE" w:rsidRPr="009640EE" w:rsidRDefault="009640EE" w:rsidP="009640EE">
      <w:pPr>
        <w:spacing w:after="120" w:line="240" w:lineRule="auto"/>
        <w:rPr>
          <w:rFonts w:cstheme="minorHAnsi"/>
          <w:b/>
        </w:rPr>
      </w:pPr>
      <w:r w:rsidRPr="009640EE">
        <w:rPr>
          <w:rFonts w:cstheme="minorHAnsi"/>
          <w:b/>
        </w:rPr>
        <w:t>Gender - Overall Classroom Achievement by Gender</w:t>
      </w:r>
    </w:p>
    <w:tbl>
      <w:tblPr>
        <w:tblW w:w="976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1002"/>
        <w:gridCol w:w="892"/>
        <w:gridCol w:w="752"/>
        <w:gridCol w:w="1002"/>
        <w:gridCol w:w="892"/>
        <w:gridCol w:w="752"/>
        <w:gridCol w:w="1002"/>
        <w:gridCol w:w="892"/>
        <w:gridCol w:w="752"/>
        <w:gridCol w:w="959"/>
      </w:tblGrid>
      <w:tr w:rsidR="004D6D36" w:rsidRPr="009640EE" w:rsidTr="009217A8">
        <w:trPr>
          <w:trHeight w:val="317"/>
        </w:trPr>
        <w:tc>
          <w:tcPr>
            <w:tcW w:w="863" w:type="dxa"/>
            <w:vMerge w:val="restart"/>
            <w:shd w:val="clear" w:color="auto" w:fill="C6D9F1" w:themeFill="text2" w:themeFillTint="33"/>
            <w:vAlign w:val="center"/>
            <w:hideMark/>
          </w:tcPr>
          <w:p w:rsidR="004D6D36" w:rsidRPr="009640EE" w:rsidRDefault="004D6D36" w:rsidP="009640EE">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Overall</w:t>
            </w:r>
          </w:p>
        </w:tc>
        <w:tc>
          <w:tcPr>
            <w:tcW w:w="2645" w:type="dxa"/>
            <w:gridSpan w:val="3"/>
            <w:shd w:val="clear" w:color="auto" w:fill="C6D9F1" w:themeFill="text2" w:themeFillTint="33"/>
            <w:vAlign w:val="center"/>
          </w:tcPr>
          <w:p w:rsidR="004D6D36" w:rsidRPr="009640EE" w:rsidRDefault="004D6D36"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2015/16</w:t>
            </w:r>
          </w:p>
        </w:tc>
        <w:tc>
          <w:tcPr>
            <w:tcW w:w="2645" w:type="dxa"/>
            <w:gridSpan w:val="3"/>
            <w:shd w:val="clear" w:color="auto" w:fill="C6D9F1" w:themeFill="text2" w:themeFillTint="33"/>
          </w:tcPr>
          <w:p w:rsidR="004D6D36" w:rsidRPr="009640EE" w:rsidRDefault="004D6D36" w:rsidP="009640EE">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2016/17</w:t>
            </w:r>
          </w:p>
        </w:tc>
        <w:tc>
          <w:tcPr>
            <w:tcW w:w="2645" w:type="dxa"/>
            <w:gridSpan w:val="3"/>
            <w:shd w:val="clear" w:color="auto" w:fill="C6D9F1" w:themeFill="text2" w:themeFillTint="33"/>
          </w:tcPr>
          <w:p w:rsidR="004D6D36" w:rsidRPr="009640EE" w:rsidRDefault="004D6D36" w:rsidP="009640EE">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2017/18</w:t>
            </w:r>
          </w:p>
        </w:tc>
        <w:tc>
          <w:tcPr>
            <w:tcW w:w="959" w:type="dxa"/>
            <w:vMerge w:val="restart"/>
            <w:shd w:val="clear" w:color="000000" w:fill="D9D9D9"/>
            <w:vAlign w:val="center"/>
            <w:hideMark/>
          </w:tcPr>
          <w:p w:rsidR="004D6D36" w:rsidRPr="009640EE" w:rsidRDefault="004D6D36"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2016/17 PPA</w:t>
            </w:r>
          </w:p>
        </w:tc>
      </w:tr>
      <w:tr w:rsidR="004D6D36" w:rsidRPr="009640EE" w:rsidTr="009217A8">
        <w:trPr>
          <w:trHeight w:val="317"/>
        </w:trPr>
        <w:tc>
          <w:tcPr>
            <w:tcW w:w="863" w:type="dxa"/>
            <w:vMerge/>
            <w:shd w:val="clear" w:color="auto" w:fill="C6D9F1" w:themeFill="text2" w:themeFillTint="33"/>
            <w:vAlign w:val="center"/>
            <w:hideMark/>
          </w:tcPr>
          <w:p w:rsidR="004D6D36" w:rsidRPr="009640EE" w:rsidRDefault="004D6D36" w:rsidP="004D6D36">
            <w:pPr>
              <w:spacing w:after="0" w:line="240" w:lineRule="auto"/>
              <w:jc w:val="center"/>
              <w:rPr>
                <w:rFonts w:ascii="Calibri" w:eastAsia="Times New Roman" w:hAnsi="Calibri" w:cs="Times New Roman"/>
                <w:b/>
                <w:bCs/>
                <w:color w:val="000000"/>
                <w:sz w:val="20"/>
                <w:szCs w:val="20"/>
                <w:lang w:eastAsia="en-GB"/>
              </w:rPr>
            </w:pPr>
          </w:p>
        </w:tc>
        <w:tc>
          <w:tcPr>
            <w:tcW w:w="1002" w:type="dxa"/>
            <w:shd w:val="clear" w:color="auto" w:fill="C6D9F1" w:themeFill="text2" w:themeFillTint="33"/>
            <w:vAlign w:val="center"/>
          </w:tcPr>
          <w:p w:rsidR="004D6D36" w:rsidRPr="009640EE" w:rsidRDefault="004D6D36" w:rsidP="004D6D36">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Students</w:t>
            </w:r>
          </w:p>
        </w:tc>
        <w:tc>
          <w:tcPr>
            <w:tcW w:w="892" w:type="dxa"/>
            <w:shd w:val="clear" w:color="auto" w:fill="C6D9F1" w:themeFill="text2" w:themeFillTint="33"/>
            <w:vAlign w:val="center"/>
            <w:hideMark/>
          </w:tcPr>
          <w:p w:rsidR="004D6D36" w:rsidRPr="009640EE" w:rsidRDefault="004D6D36" w:rsidP="004D6D36">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Enrols</w:t>
            </w:r>
          </w:p>
        </w:tc>
        <w:tc>
          <w:tcPr>
            <w:tcW w:w="752" w:type="dxa"/>
            <w:shd w:val="clear" w:color="auto" w:fill="C6D9F1" w:themeFill="text2" w:themeFillTint="33"/>
            <w:vAlign w:val="center"/>
            <w:hideMark/>
          </w:tcPr>
          <w:p w:rsidR="004D6D36" w:rsidRPr="009640EE" w:rsidRDefault="004D6D36" w:rsidP="004D6D36">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Ach</w:t>
            </w:r>
          </w:p>
        </w:tc>
        <w:tc>
          <w:tcPr>
            <w:tcW w:w="1002" w:type="dxa"/>
            <w:shd w:val="clear" w:color="auto" w:fill="C6D9F1" w:themeFill="text2" w:themeFillTint="33"/>
            <w:vAlign w:val="center"/>
          </w:tcPr>
          <w:p w:rsidR="004D6D36" w:rsidRPr="009640EE" w:rsidRDefault="004D6D36" w:rsidP="004D6D36">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Students</w:t>
            </w:r>
          </w:p>
        </w:tc>
        <w:tc>
          <w:tcPr>
            <w:tcW w:w="892" w:type="dxa"/>
            <w:shd w:val="clear" w:color="auto" w:fill="C6D9F1" w:themeFill="text2" w:themeFillTint="33"/>
            <w:vAlign w:val="center"/>
            <w:hideMark/>
          </w:tcPr>
          <w:p w:rsidR="004D6D36" w:rsidRPr="009640EE" w:rsidRDefault="004D6D36" w:rsidP="004D6D36">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Enrols</w:t>
            </w:r>
          </w:p>
        </w:tc>
        <w:tc>
          <w:tcPr>
            <w:tcW w:w="752" w:type="dxa"/>
            <w:shd w:val="clear" w:color="auto" w:fill="C6D9F1" w:themeFill="text2" w:themeFillTint="33"/>
            <w:vAlign w:val="center"/>
            <w:hideMark/>
          </w:tcPr>
          <w:p w:rsidR="004D6D36" w:rsidRPr="009640EE" w:rsidRDefault="004D6D36" w:rsidP="004D6D36">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Ach</w:t>
            </w:r>
          </w:p>
        </w:tc>
        <w:tc>
          <w:tcPr>
            <w:tcW w:w="1002" w:type="dxa"/>
            <w:shd w:val="clear" w:color="auto" w:fill="C6D9F1" w:themeFill="text2" w:themeFillTint="33"/>
            <w:vAlign w:val="center"/>
          </w:tcPr>
          <w:p w:rsidR="004D6D36" w:rsidRPr="009640EE" w:rsidRDefault="004D6D36" w:rsidP="004D6D36">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Students</w:t>
            </w:r>
          </w:p>
        </w:tc>
        <w:tc>
          <w:tcPr>
            <w:tcW w:w="892" w:type="dxa"/>
            <w:shd w:val="clear" w:color="auto" w:fill="C6D9F1" w:themeFill="text2" w:themeFillTint="33"/>
            <w:vAlign w:val="center"/>
            <w:hideMark/>
          </w:tcPr>
          <w:p w:rsidR="004D6D36" w:rsidRPr="009640EE" w:rsidRDefault="004D6D36" w:rsidP="004D6D36">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Enrols</w:t>
            </w:r>
          </w:p>
        </w:tc>
        <w:tc>
          <w:tcPr>
            <w:tcW w:w="752" w:type="dxa"/>
            <w:shd w:val="clear" w:color="auto" w:fill="C6D9F1" w:themeFill="text2" w:themeFillTint="33"/>
            <w:vAlign w:val="center"/>
            <w:hideMark/>
          </w:tcPr>
          <w:p w:rsidR="004D6D36" w:rsidRPr="009640EE" w:rsidRDefault="004D6D36" w:rsidP="004D6D36">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Ach</w:t>
            </w:r>
          </w:p>
        </w:tc>
        <w:tc>
          <w:tcPr>
            <w:tcW w:w="959" w:type="dxa"/>
            <w:vMerge/>
            <w:vAlign w:val="center"/>
            <w:hideMark/>
          </w:tcPr>
          <w:p w:rsidR="004D6D36" w:rsidRPr="009640EE" w:rsidRDefault="004D6D36" w:rsidP="009640EE">
            <w:pPr>
              <w:spacing w:after="0" w:line="240" w:lineRule="auto"/>
              <w:rPr>
                <w:rFonts w:ascii="Calibri" w:eastAsia="Times New Roman" w:hAnsi="Calibri" w:cs="Times New Roman"/>
                <w:b/>
                <w:bCs/>
                <w:color w:val="000000"/>
                <w:sz w:val="20"/>
                <w:szCs w:val="20"/>
                <w:lang w:eastAsia="en-GB"/>
              </w:rPr>
            </w:pPr>
          </w:p>
        </w:tc>
      </w:tr>
      <w:tr w:rsidR="004D6D36" w:rsidRPr="009640EE" w:rsidTr="00A11CD2">
        <w:trPr>
          <w:trHeight w:val="317"/>
        </w:trPr>
        <w:tc>
          <w:tcPr>
            <w:tcW w:w="863" w:type="dxa"/>
            <w:shd w:val="clear" w:color="auto" w:fill="auto"/>
            <w:vAlign w:val="center"/>
            <w:hideMark/>
          </w:tcPr>
          <w:p w:rsidR="004D6D36" w:rsidRPr="009640EE" w:rsidRDefault="004D6D36" w:rsidP="009640EE">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Male</w:t>
            </w:r>
          </w:p>
        </w:tc>
        <w:tc>
          <w:tcPr>
            <w:tcW w:w="1002" w:type="dxa"/>
            <w:vAlign w:val="center"/>
          </w:tcPr>
          <w:p w:rsidR="004D6D36" w:rsidRPr="009640EE" w:rsidRDefault="006C180D" w:rsidP="00A11CD2">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2,400</w:t>
            </w:r>
          </w:p>
        </w:tc>
        <w:tc>
          <w:tcPr>
            <w:tcW w:w="892" w:type="dxa"/>
            <w:shd w:val="clear" w:color="auto" w:fill="auto"/>
            <w:vAlign w:val="center"/>
            <w:hideMark/>
          </w:tcPr>
          <w:p w:rsidR="004D6D36" w:rsidRPr="009640EE" w:rsidRDefault="004D6D36" w:rsidP="00A11CD2">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4,697</w:t>
            </w:r>
          </w:p>
        </w:tc>
        <w:tc>
          <w:tcPr>
            <w:tcW w:w="752" w:type="dxa"/>
            <w:shd w:val="clear" w:color="auto" w:fill="auto"/>
            <w:vAlign w:val="center"/>
            <w:hideMark/>
          </w:tcPr>
          <w:p w:rsidR="004D6D36" w:rsidRPr="009640EE" w:rsidRDefault="004D6D36" w:rsidP="00A11CD2">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82.5%</w:t>
            </w:r>
          </w:p>
        </w:tc>
        <w:tc>
          <w:tcPr>
            <w:tcW w:w="1002" w:type="dxa"/>
            <w:vAlign w:val="center"/>
          </w:tcPr>
          <w:p w:rsidR="004D6D36" w:rsidRPr="009640EE" w:rsidRDefault="00BF53FB" w:rsidP="00A11CD2">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2,304</w:t>
            </w:r>
          </w:p>
        </w:tc>
        <w:tc>
          <w:tcPr>
            <w:tcW w:w="892" w:type="dxa"/>
            <w:shd w:val="clear" w:color="auto" w:fill="auto"/>
            <w:vAlign w:val="center"/>
            <w:hideMark/>
          </w:tcPr>
          <w:p w:rsidR="004D6D36" w:rsidRPr="009640EE" w:rsidRDefault="004D6D36" w:rsidP="00A11CD2">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5,011</w:t>
            </w:r>
          </w:p>
        </w:tc>
        <w:tc>
          <w:tcPr>
            <w:tcW w:w="752" w:type="dxa"/>
            <w:shd w:val="clear" w:color="auto" w:fill="auto"/>
            <w:vAlign w:val="center"/>
            <w:hideMark/>
          </w:tcPr>
          <w:p w:rsidR="004D6D36" w:rsidRPr="009640EE" w:rsidRDefault="004D6D36" w:rsidP="00A11CD2">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84.5%</w:t>
            </w:r>
          </w:p>
        </w:tc>
        <w:tc>
          <w:tcPr>
            <w:tcW w:w="1002" w:type="dxa"/>
            <w:vAlign w:val="center"/>
          </w:tcPr>
          <w:p w:rsidR="004D6D36" w:rsidRPr="009640EE" w:rsidRDefault="00A11CD2" w:rsidP="00A11CD2">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1,921</w:t>
            </w:r>
          </w:p>
        </w:tc>
        <w:tc>
          <w:tcPr>
            <w:tcW w:w="892" w:type="dxa"/>
            <w:shd w:val="clear" w:color="auto" w:fill="auto"/>
            <w:vAlign w:val="center"/>
            <w:hideMark/>
          </w:tcPr>
          <w:p w:rsidR="004D6D36" w:rsidRPr="009640EE" w:rsidRDefault="004D6D36" w:rsidP="00A11CD2">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3,60</w:t>
            </w:r>
            <w:r>
              <w:rPr>
                <w:rFonts w:ascii="Calibri" w:eastAsia="Times New Roman" w:hAnsi="Calibri" w:cs="Times New Roman"/>
                <w:color w:val="000000"/>
                <w:sz w:val="20"/>
                <w:szCs w:val="20"/>
                <w:lang w:eastAsia="en-GB"/>
              </w:rPr>
              <w:t>8</w:t>
            </w:r>
          </w:p>
        </w:tc>
        <w:tc>
          <w:tcPr>
            <w:tcW w:w="752" w:type="dxa"/>
            <w:shd w:val="clear" w:color="auto" w:fill="auto"/>
            <w:vAlign w:val="center"/>
            <w:hideMark/>
          </w:tcPr>
          <w:p w:rsidR="004D6D36" w:rsidRPr="009640EE" w:rsidRDefault="004D6D36" w:rsidP="00A11CD2">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82.4%</w:t>
            </w:r>
          </w:p>
        </w:tc>
        <w:tc>
          <w:tcPr>
            <w:tcW w:w="959" w:type="dxa"/>
            <w:shd w:val="clear" w:color="000000" w:fill="D9D9D9"/>
            <w:vAlign w:val="center"/>
            <w:hideMark/>
          </w:tcPr>
          <w:p w:rsidR="004D6D36" w:rsidRPr="009640EE" w:rsidRDefault="004D6D36" w:rsidP="00A11CD2">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83.9%</w:t>
            </w:r>
          </w:p>
        </w:tc>
      </w:tr>
      <w:tr w:rsidR="004D6D36" w:rsidRPr="009640EE" w:rsidTr="00A11CD2">
        <w:trPr>
          <w:trHeight w:val="317"/>
        </w:trPr>
        <w:tc>
          <w:tcPr>
            <w:tcW w:w="863" w:type="dxa"/>
            <w:shd w:val="clear" w:color="auto" w:fill="auto"/>
            <w:vAlign w:val="center"/>
            <w:hideMark/>
          </w:tcPr>
          <w:p w:rsidR="004D6D36" w:rsidRPr="009640EE" w:rsidRDefault="004D6D36" w:rsidP="009640EE">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Female</w:t>
            </w:r>
          </w:p>
        </w:tc>
        <w:tc>
          <w:tcPr>
            <w:tcW w:w="1002" w:type="dxa"/>
            <w:vAlign w:val="center"/>
          </w:tcPr>
          <w:p w:rsidR="004D6D36" w:rsidRPr="009640EE" w:rsidRDefault="006C180D" w:rsidP="00A11CD2">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2,139</w:t>
            </w:r>
          </w:p>
        </w:tc>
        <w:tc>
          <w:tcPr>
            <w:tcW w:w="892" w:type="dxa"/>
            <w:shd w:val="clear" w:color="auto" w:fill="auto"/>
            <w:vAlign w:val="center"/>
            <w:hideMark/>
          </w:tcPr>
          <w:p w:rsidR="004D6D36" w:rsidRPr="009640EE" w:rsidRDefault="004D6D36" w:rsidP="00A11CD2">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4,143</w:t>
            </w:r>
          </w:p>
        </w:tc>
        <w:tc>
          <w:tcPr>
            <w:tcW w:w="752" w:type="dxa"/>
            <w:shd w:val="clear" w:color="auto" w:fill="auto"/>
            <w:vAlign w:val="center"/>
            <w:hideMark/>
          </w:tcPr>
          <w:p w:rsidR="004D6D36" w:rsidRPr="009640EE" w:rsidRDefault="004D6D36" w:rsidP="00A11CD2">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83.7%</w:t>
            </w:r>
          </w:p>
        </w:tc>
        <w:tc>
          <w:tcPr>
            <w:tcW w:w="1002" w:type="dxa"/>
            <w:vAlign w:val="center"/>
          </w:tcPr>
          <w:p w:rsidR="004D6D36" w:rsidRPr="009640EE" w:rsidRDefault="00BF53FB" w:rsidP="00A11CD2">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1,992</w:t>
            </w:r>
          </w:p>
        </w:tc>
        <w:tc>
          <w:tcPr>
            <w:tcW w:w="892" w:type="dxa"/>
            <w:shd w:val="clear" w:color="auto" w:fill="auto"/>
            <w:vAlign w:val="center"/>
            <w:hideMark/>
          </w:tcPr>
          <w:p w:rsidR="004D6D36" w:rsidRPr="009640EE" w:rsidRDefault="004D6D36" w:rsidP="00A11CD2">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4,418</w:t>
            </w:r>
          </w:p>
        </w:tc>
        <w:tc>
          <w:tcPr>
            <w:tcW w:w="752" w:type="dxa"/>
            <w:shd w:val="clear" w:color="auto" w:fill="auto"/>
            <w:vAlign w:val="center"/>
            <w:hideMark/>
          </w:tcPr>
          <w:p w:rsidR="004D6D36" w:rsidRPr="009640EE" w:rsidRDefault="004D6D36" w:rsidP="00A11CD2">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85.6%</w:t>
            </w:r>
          </w:p>
        </w:tc>
        <w:tc>
          <w:tcPr>
            <w:tcW w:w="1002" w:type="dxa"/>
            <w:vAlign w:val="center"/>
          </w:tcPr>
          <w:p w:rsidR="004D6D36" w:rsidRPr="009640EE" w:rsidRDefault="00A11CD2" w:rsidP="00A11CD2">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1,801</w:t>
            </w:r>
          </w:p>
        </w:tc>
        <w:tc>
          <w:tcPr>
            <w:tcW w:w="892" w:type="dxa"/>
            <w:shd w:val="clear" w:color="auto" w:fill="auto"/>
            <w:vAlign w:val="center"/>
            <w:hideMark/>
          </w:tcPr>
          <w:p w:rsidR="004D6D36" w:rsidRPr="009640EE" w:rsidRDefault="004D6D36" w:rsidP="00A11CD2">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3,</w:t>
            </w:r>
            <w:r>
              <w:rPr>
                <w:rFonts w:ascii="Calibri" w:eastAsia="Times New Roman" w:hAnsi="Calibri" w:cs="Times New Roman"/>
                <w:color w:val="000000"/>
                <w:sz w:val="20"/>
                <w:szCs w:val="20"/>
                <w:lang w:eastAsia="en-GB"/>
              </w:rPr>
              <w:t>201</w:t>
            </w:r>
          </w:p>
        </w:tc>
        <w:tc>
          <w:tcPr>
            <w:tcW w:w="752" w:type="dxa"/>
            <w:shd w:val="clear" w:color="auto" w:fill="auto"/>
            <w:vAlign w:val="center"/>
            <w:hideMark/>
          </w:tcPr>
          <w:p w:rsidR="004D6D36" w:rsidRPr="009640EE" w:rsidRDefault="004D6D36" w:rsidP="00A11CD2">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83.</w:t>
            </w:r>
            <w:r>
              <w:rPr>
                <w:rFonts w:ascii="Calibri" w:eastAsia="Times New Roman" w:hAnsi="Calibri" w:cs="Times New Roman"/>
                <w:color w:val="000000"/>
                <w:sz w:val="20"/>
                <w:szCs w:val="20"/>
                <w:lang w:eastAsia="en-GB"/>
              </w:rPr>
              <w:t>1</w:t>
            </w:r>
            <w:r w:rsidRPr="009640EE">
              <w:rPr>
                <w:rFonts w:ascii="Calibri" w:eastAsia="Times New Roman" w:hAnsi="Calibri" w:cs="Times New Roman"/>
                <w:color w:val="000000"/>
                <w:sz w:val="20"/>
                <w:szCs w:val="20"/>
                <w:lang w:eastAsia="en-GB"/>
              </w:rPr>
              <w:t>%</w:t>
            </w:r>
          </w:p>
        </w:tc>
        <w:tc>
          <w:tcPr>
            <w:tcW w:w="959" w:type="dxa"/>
            <w:shd w:val="clear" w:color="000000" w:fill="D9D9D9"/>
            <w:vAlign w:val="center"/>
            <w:hideMark/>
          </w:tcPr>
          <w:p w:rsidR="004D6D36" w:rsidRPr="009640EE" w:rsidRDefault="004D6D36" w:rsidP="00A11CD2">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84.9%</w:t>
            </w:r>
          </w:p>
        </w:tc>
      </w:tr>
      <w:tr w:rsidR="004D6D36" w:rsidRPr="009640EE" w:rsidTr="00A11CD2">
        <w:trPr>
          <w:trHeight w:val="317"/>
        </w:trPr>
        <w:tc>
          <w:tcPr>
            <w:tcW w:w="863" w:type="dxa"/>
            <w:shd w:val="clear" w:color="000000" w:fill="D9D9D9"/>
            <w:vAlign w:val="center"/>
            <w:hideMark/>
          </w:tcPr>
          <w:p w:rsidR="004D6D36" w:rsidRPr="009640EE" w:rsidRDefault="004D6D36" w:rsidP="009640EE">
            <w:pPr>
              <w:spacing w:after="0" w:line="240" w:lineRule="auto"/>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GAP</w:t>
            </w:r>
          </w:p>
        </w:tc>
        <w:tc>
          <w:tcPr>
            <w:tcW w:w="1002" w:type="dxa"/>
            <w:shd w:val="clear" w:color="000000" w:fill="D9D9D9"/>
            <w:vAlign w:val="center"/>
          </w:tcPr>
          <w:p w:rsidR="004D6D36" w:rsidRPr="009640EE" w:rsidRDefault="006C180D" w:rsidP="00A11CD2">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261</w:t>
            </w:r>
          </w:p>
        </w:tc>
        <w:tc>
          <w:tcPr>
            <w:tcW w:w="892" w:type="dxa"/>
            <w:shd w:val="clear" w:color="000000" w:fill="D9D9D9"/>
            <w:vAlign w:val="center"/>
            <w:hideMark/>
          </w:tcPr>
          <w:p w:rsidR="004D6D36" w:rsidRPr="009640EE" w:rsidRDefault="004D6D36" w:rsidP="00A11CD2">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554</w:t>
            </w:r>
          </w:p>
        </w:tc>
        <w:tc>
          <w:tcPr>
            <w:tcW w:w="752" w:type="dxa"/>
            <w:shd w:val="clear" w:color="000000" w:fill="D9D9D9"/>
            <w:vAlign w:val="center"/>
            <w:hideMark/>
          </w:tcPr>
          <w:p w:rsidR="004D6D36" w:rsidRPr="009640EE" w:rsidRDefault="004D6D36" w:rsidP="00A11CD2">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1.2%</w:t>
            </w:r>
          </w:p>
        </w:tc>
        <w:tc>
          <w:tcPr>
            <w:tcW w:w="1002" w:type="dxa"/>
            <w:shd w:val="clear" w:color="000000" w:fill="D9D9D9"/>
            <w:vAlign w:val="center"/>
          </w:tcPr>
          <w:p w:rsidR="004D6D36" w:rsidRPr="009640EE" w:rsidRDefault="00BF53FB" w:rsidP="00A11CD2">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312</w:t>
            </w:r>
          </w:p>
        </w:tc>
        <w:tc>
          <w:tcPr>
            <w:tcW w:w="892" w:type="dxa"/>
            <w:shd w:val="clear" w:color="000000" w:fill="D9D9D9"/>
            <w:vAlign w:val="center"/>
            <w:hideMark/>
          </w:tcPr>
          <w:p w:rsidR="004D6D36" w:rsidRPr="009640EE" w:rsidRDefault="004D6D36" w:rsidP="00A11CD2">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593</w:t>
            </w:r>
          </w:p>
        </w:tc>
        <w:tc>
          <w:tcPr>
            <w:tcW w:w="752" w:type="dxa"/>
            <w:shd w:val="clear" w:color="000000" w:fill="D9D9D9"/>
            <w:vAlign w:val="center"/>
            <w:hideMark/>
          </w:tcPr>
          <w:p w:rsidR="004D6D36" w:rsidRPr="009640EE" w:rsidRDefault="004D6D36" w:rsidP="00A11CD2">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1.1%</w:t>
            </w:r>
          </w:p>
        </w:tc>
        <w:tc>
          <w:tcPr>
            <w:tcW w:w="1002" w:type="dxa"/>
            <w:shd w:val="clear" w:color="000000" w:fill="D9D9D9"/>
            <w:vAlign w:val="center"/>
          </w:tcPr>
          <w:p w:rsidR="004D6D36" w:rsidRPr="009640EE" w:rsidRDefault="00A11CD2" w:rsidP="00A11CD2">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120</w:t>
            </w:r>
          </w:p>
        </w:tc>
        <w:tc>
          <w:tcPr>
            <w:tcW w:w="892" w:type="dxa"/>
            <w:shd w:val="clear" w:color="000000" w:fill="D9D9D9"/>
            <w:vAlign w:val="center"/>
            <w:hideMark/>
          </w:tcPr>
          <w:p w:rsidR="004D6D36" w:rsidRPr="009640EE" w:rsidRDefault="004D6D36" w:rsidP="00A11CD2">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40</w:t>
            </w:r>
            <w:r>
              <w:rPr>
                <w:rFonts w:ascii="Calibri" w:eastAsia="Times New Roman" w:hAnsi="Calibri" w:cs="Times New Roman"/>
                <w:b/>
                <w:bCs/>
                <w:color w:val="000000"/>
                <w:sz w:val="20"/>
                <w:szCs w:val="20"/>
                <w:lang w:eastAsia="en-GB"/>
              </w:rPr>
              <w:t>7</w:t>
            </w:r>
          </w:p>
        </w:tc>
        <w:tc>
          <w:tcPr>
            <w:tcW w:w="752" w:type="dxa"/>
            <w:shd w:val="clear" w:color="000000" w:fill="D9D9D9"/>
            <w:vAlign w:val="center"/>
            <w:hideMark/>
          </w:tcPr>
          <w:p w:rsidR="004D6D36" w:rsidRPr="009640EE" w:rsidRDefault="004D6D36" w:rsidP="00A11CD2">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0.7%</w:t>
            </w:r>
          </w:p>
        </w:tc>
        <w:tc>
          <w:tcPr>
            <w:tcW w:w="959" w:type="dxa"/>
            <w:shd w:val="clear" w:color="000000" w:fill="D9D9D9"/>
            <w:vAlign w:val="center"/>
            <w:hideMark/>
          </w:tcPr>
          <w:p w:rsidR="004D6D36" w:rsidRPr="009640EE" w:rsidRDefault="004D6D36" w:rsidP="00A11CD2">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1.0%</w:t>
            </w:r>
          </w:p>
        </w:tc>
      </w:tr>
    </w:tbl>
    <w:p w:rsidR="00E52619" w:rsidRDefault="00E52619" w:rsidP="009640EE">
      <w:pPr>
        <w:spacing w:after="0" w:line="240" w:lineRule="auto"/>
        <w:rPr>
          <w:rFonts w:cstheme="minorHAnsi"/>
        </w:rPr>
      </w:pPr>
    </w:p>
    <w:p w:rsidR="009640EE" w:rsidRPr="009640EE" w:rsidRDefault="009640EE" w:rsidP="009640EE">
      <w:pPr>
        <w:spacing w:after="0" w:line="240" w:lineRule="auto"/>
        <w:rPr>
          <w:rFonts w:cstheme="minorHAnsi"/>
        </w:rPr>
      </w:pPr>
      <w:r w:rsidRPr="009640EE">
        <w:rPr>
          <w:rFonts w:cstheme="minorHAnsi"/>
        </w:rPr>
        <w:t xml:space="preserve">There are </w:t>
      </w:r>
      <w:r w:rsidRPr="009640EE">
        <w:rPr>
          <w:rFonts w:cstheme="minorHAnsi"/>
          <w:b/>
        </w:rPr>
        <w:t>no significant achievement gaps</w:t>
      </w:r>
      <w:r w:rsidRPr="009640EE">
        <w:rPr>
          <w:rFonts w:cstheme="minorHAnsi"/>
        </w:rPr>
        <w:t xml:space="preserve"> by gender, this has been minimal and closing for the last 3 years, with the gap less than the national average.  </w:t>
      </w:r>
    </w:p>
    <w:p w:rsidR="00325A4C" w:rsidRDefault="00325A4C" w:rsidP="009640EE">
      <w:pPr>
        <w:spacing w:after="120" w:line="240" w:lineRule="auto"/>
        <w:jc w:val="both"/>
        <w:rPr>
          <w:rFonts w:cstheme="minorHAnsi"/>
        </w:rPr>
      </w:pPr>
    </w:p>
    <w:p w:rsidR="009640EE" w:rsidRPr="005307E4" w:rsidRDefault="005307E4" w:rsidP="009640EE">
      <w:pPr>
        <w:spacing w:after="120" w:line="240" w:lineRule="auto"/>
        <w:jc w:val="both"/>
        <w:rPr>
          <w:rFonts w:cstheme="minorHAnsi"/>
        </w:rPr>
      </w:pPr>
      <w:r w:rsidRPr="005307E4">
        <w:rPr>
          <w:rFonts w:cstheme="minorHAnsi"/>
        </w:rPr>
        <w:t>Our gender profile is broadly in line with the demographics of the local area with 51.6</w:t>
      </w:r>
      <w:r w:rsidR="009C5094">
        <w:rPr>
          <w:rFonts w:cstheme="minorHAnsi"/>
        </w:rPr>
        <w:t>% of students being male and 48.</w:t>
      </w:r>
      <w:r w:rsidRPr="005307E4">
        <w:rPr>
          <w:rFonts w:cstheme="minorHAnsi"/>
        </w:rPr>
        <w:t>4% female, this compares with the 16-64 year old population of Chesterfield which is 49.7% male and 50.2% female.</w:t>
      </w:r>
    </w:p>
    <w:p w:rsidR="00E52619" w:rsidRDefault="00E52619" w:rsidP="009640EE">
      <w:pPr>
        <w:spacing w:after="120" w:line="240" w:lineRule="auto"/>
        <w:jc w:val="both"/>
        <w:rPr>
          <w:rFonts w:cstheme="minorHAnsi"/>
          <w:b/>
        </w:rPr>
      </w:pPr>
    </w:p>
    <w:p w:rsidR="009640EE" w:rsidRPr="009640EE" w:rsidRDefault="009640EE" w:rsidP="009640EE">
      <w:pPr>
        <w:spacing w:after="120" w:line="240" w:lineRule="auto"/>
        <w:jc w:val="both"/>
        <w:rPr>
          <w:rFonts w:cstheme="minorHAnsi"/>
          <w:b/>
        </w:rPr>
      </w:pPr>
      <w:r w:rsidRPr="009640EE">
        <w:rPr>
          <w:rFonts w:cstheme="minorHAnsi"/>
          <w:b/>
        </w:rPr>
        <w:t>Ethnicity - Overall Classroom Achievement by Ethnicity</w:t>
      </w:r>
    </w:p>
    <w:tbl>
      <w:tblPr>
        <w:tblW w:w="5504" w:type="pct"/>
        <w:tblLayout w:type="fixed"/>
        <w:tblLook w:val="04A0" w:firstRow="1" w:lastRow="0" w:firstColumn="1" w:lastColumn="0" w:noHBand="0" w:noVBand="1"/>
      </w:tblPr>
      <w:tblGrid>
        <w:gridCol w:w="1498"/>
        <w:gridCol w:w="935"/>
        <w:gridCol w:w="814"/>
        <w:gridCol w:w="816"/>
        <w:gridCol w:w="933"/>
        <w:gridCol w:w="814"/>
        <w:gridCol w:w="814"/>
        <w:gridCol w:w="778"/>
        <w:gridCol w:w="935"/>
        <w:gridCol w:w="814"/>
        <w:gridCol w:w="774"/>
      </w:tblGrid>
      <w:tr w:rsidR="004D6D36" w:rsidRPr="009640EE" w:rsidTr="009217A8">
        <w:trPr>
          <w:trHeight w:val="304"/>
        </w:trPr>
        <w:tc>
          <w:tcPr>
            <w:tcW w:w="755" w:type="pct"/>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4D6D36" w:rsidRPr="009640EE" w:rsidRDefault="004D6D36" w:rsidP="009640EE">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 </w:t>
            </w:r>
          </w:p>
        </w:tc>
        <w:tc>
          <w:tcPr>
            <w:tcW w:w="1292"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rsidR="004D6D36" w:rsidRPr="009640EE" w:rsidRDefault="004D6D36" w:rsidP="009640EE">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2015/16</w:t>
            </w:r>
          </w:p>
        </w:tc>
        <w:tc>
          <w:tcPr>
            <w:tcW w:w="1290"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rsidR="004D6D36" w:rsidRPr="009640EE" w:rsidRDefault="004D6D36" w:rsidP="009640EE">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2016/17</w:t>
            </w:r>
          </w:p>
        </w:tc>
        <w:tc>
          <w:tcPr>
            <w:tcW w:w="392"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D6D36" w:rsidRPr="009640EE" w:rsidRDefault="004D6D36" w:rsidP="004D6D36">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2016/17 PPA</w:t>
            </w:r>
          </w:p>
        </w:tc>
        <w:tc>
          <w:tcPr>
            <w:tcW w:w="1271"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rsidR="004D6D36" w:rsidRPr="009640EE" w:rsidRDefault="004D6D36" w:rsidP="009640EE">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2017/18</w:t>
            </w:r>
          </w:p>
        </w:tc>
      </w:tr>
      <w:tr w:rsidR="004D6D36" w:rsidRPr="009640EE" w:rsidTr="009217A8">
        <w:trPr>
          <w:trHeight w:val="533"/>
        </w:trPr>
        <w:tc>
          <w:tcPr>
            <w:tcW w:w="755" w:type="pct"/>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4D6D36" w:rsidRPr="009640EE" w:rsidRDefault="004D6D36" w:rsidP="009640EE">
            <w:pPr>
              <w:spacing w:after="0" w:line="240" w:lineRule="auto"/>
              <w:rPr>
                <w:rFonts w:ascii="Calibri" w:eastAsia="Times New Roman" w:hAnsi="Calibri" w:cs="Times New Roman"/>
                <w:b/>
                <w:bCs/>
                <w:color w:val="000000"/>
                <w:sz w:val="20"/>
                <w:szCs w:val="20"/>
                <w:lang w:eastAsia="en-GB"/>
              </w:rPr>
            </w:pPr>
          </w:p>
        </w:tc>
        <w:tc>
          <w:tcPr>
            <w:tcW w:w="47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D6D36" w:rsidRPr="00DA0248" w:rsidRDefault="004D6D36" w:rsidP="009217A8">
            <w:pPr>
              <w:spacing w:after="0" w:line="240" w:lineRule="auto"/>
              <w:jc w:val="center"/>
              <w:rPr>
                <w:rFonts w:ascii="Calibri" w:eastAsia="Times New Roman" w:hAnsi="Calibri" w:cs="Times New Roman"/>
                <w:b/>
                <w:bCs/>
                <w:color w:val="000000"/>
                <w:sz w:val="18"/>
                <w:szCs w:val="20"/>
                <w:lang w:eastAsia="en-GB"/>
              </w:rPr>
            </w:pPr>
            <w:r w:rsidRPr="00DA0248">
              <w:rPr>
                <w:rFonts w:ascii="Calibri" w:eastAsia="Times New Roman" w:hAnsi="Calibri" w:cs="Times New Roman"/>
                <w:b/>
                <w:bCs/>
                <w:color w:val="000000"/>
                <w:sz w:val="18"/>
                <w:szCs w:val="20"/>
                <w:lang w:eastAsia="en-GB"/>
              </w:rPr>
              <w:t>Students</w:t>
            </w:r>
          </w:p>
        </w:tc>
        <w:tc>
          <w:tcPr>
            <w:tcW w:w="410"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4D6D36" w:rsidRPr="00DA0248" w:rsidRDefault="004D6D36" w:rsidP="009217A8">
            <w:pPr>
              <w:spacing w:after="0" w:line="240" w:lineRule="auto"/>
              <w:jc w:val="center"/>
              <w:rPr>
                <w:rFonts w:ascii="Calibri" w:eastAsia="Times New Roman" w:hAnsi="Calibri" w:cs="Times New Roman"/>
                <w:b/>
                <w:bCs/>
                <w:color w:val="000000"/>
                <w:sz w:val="18"/>
                <w:szCs w:val="20"/>
                <w:lang w:eastAsia="en-GB"/>
              </w:rPr>
            </w:pPr>
            <w:r w:rsidRPr="00DA0248">
              <w:rPr>
                <w:rFonts w:ascii="Calibri" w:eastAsia="Times New Roman" w:hAnsi="Calibri" w:cs="Times New Roman"/>
                <w:b/>
                <w:bCs/>
                <w:color w:val="000000"/>
                <w:sz w:val="18"/>
                <w:szCs w:val="20"/>
                <w:lang w:eastAsia="en-GB"/>
              </w:rPr>
              <w:t>Enrols</w:t>
            </w:r>
          </w:p>
        </w:tc>
        <w:tc>
          <w:tcPr>
            <w:tcW w:w="411"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4D6D36" w:rsidRPr="00DA0248" w:rsidRDefault="004D6D36" w:rsidP="009217A8">
            <w:pPr>
              <w:spacing w:after="0" w:line="240" w:lineRule="auto"/>
              <w:jc w:val="center"/>
              <w:rPr>
                <w:rFonts w:ascii="Calibri" w:eastAsia="Times New Roman" w:hAnsi="Calibri" w:cs="Times New Roman"/>
                <w:b/>
                <w:bCs/>
                <w:color w:val="000000"/>
                <w:sz w:val="18"/>
                <w:szCs w:val="20"/>
                <w:lang w:eastAsia="en-GB"/>
              </w:rPr>
            </w:pPr>
            <w:r w:rsidRPr="00DA0248">
              <w:rPr>
                <w:rFonts w:ascii="Calibri" w:eastAsia="Times New Roman" w:hAnsi="Calibri" w:cs="Times New Roman"/>
                <w:b/>
                <w:bCs/>
                <w:color w:val="000000"/>
                <w:sz w:val="18"/>
                <w:szCs w:val="20"/>
                <w:lang w:eastAsia="en-GB"/>
              </w:rPr>
              <w:t>Ach</w:t>
            </w:r>
          </w:p>
        </w:tc>
        <w:tc>
          <w:tcPr>
            <w:tcW w:w="47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D6D36" w:rsidRPr="00DA0248" w:rsidRDefault="004D6D36" w:rsidP="009217A8">
            <w:pPr>
              <w:spacing w:after="0" w:line="240" w:lineRule="auto"/>
              <w:jc w:val="center"/>
              <w:rPr>
                <w:rFonts w:ascii="Calibri" w:eastAsia="Times New Roman" w:hAnsi="Calibri" w:cs="Times New Roman"/>
                <w:b/>
                <w:bCs/>
                <w:color w:val="000000"/>
                <w:sz w:val="18"/>
                <w:szCs w:val="20"/>
                <w:lang w:eastAsia="en-GB"/>
              </w:rPr>
            </w:pPr>
            <w:r w:rsidRPr="00DA0248">
              <w:rPr>
                <w:rFonts w:ascii="Calibri" w:eastAsia="Times New Roman" w:hAnsi="Calibri" w:cs="Times New Roman"/>
                <w:b/>
                <w:bCs/>
                <w:color w:val="000000"/>
                <w:sz w:val="18"/>
                <w:szCs w:val="20"/>
                <w:lang w:eastAsia="en-GB"/>
              </w:rPr>
              <w:t>Students</w:t>
            </w:r>
          </w:p>
        </w:tc>
        <w:tc>
          <w:tcPr>
            <w:tcW w:w="410"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4D6D36" w:rsidRPr="00DA0248" w:rsidRDefault="004D6D36" w:rsidP="009217A8">
            <w:pPr>
              <w:spacing w:after="0" w:line="240" w:lineRule="auto"/>
              <w:jc w:val="center"/>
              <w:rPr>
                <w:rFonts w:ascii="Calibri" w:eastAsia="Times New Roman" w:hAnsi="Calibri" w:cs="Times New Roman"/>
                <w:b/>
                <w:bCs/>
                <w:color w:val="000000"/>
                <w:sz w:val="18"/>
                <w:szCs w:val="20"/>
                <w:lang w:eastAsia="en-GB"/>
              </w:rPr>
            </w:pPr>
            <w:r w:rsidRPr="00DA0248">
              <w:rPr>
                <w:rFonts w:ascii="Calibri" w:eastAsia="Times New Roman" w:hAnsi="Calibri" w:cs="Times New Roman"/>
                <w:b/>
                <w:bCs/>
                <w:color w:val="000000"/>
                <w:sz w:val="18"/>
                <w:szCs w:val="20"/>
                <w:lang w:eastAsia="en-GB"/>
              </w:rPr>
              <w:t>Enrols</w:t>
            </w:r>
          </w:p>
        </w:tc>
        <w:tc>
          <w:tcPr>
            <w:tcW w:w="410"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4D6D36" w:rsidRPr="00DA0248" w:rsidRDefault="004D6D36" w:rsidP="009217A8">
            <w:pPr>
              <w:spacing w:after="0" w:line="240" w:lineRule="auto"/>
              <w:jc w:val="center"/>
              <w:rPr>
                <w:rFonts w:ascii="Calibri" w:eastAsia="Times New Roman" w:hAnsi="Calibri" w:cs="Times New Roman"/>
                <w:b/>
                <w:bCs/>
                <w:color w:val="000000"/>
                <w:sz w:val="18"/>
                <w:szCs w:val="20"/>
                <w:lang w:eastAsia="en-GB"/>
              </w:rPr>
            </w:pPr>
            <w:r w:rsidRPr="00DA0248">
              <w:rPr>
                <w:rFonts w:ascii="Calibri" w:eastAsia="Times New Roman" w:hAnsi="Calibri" w:cs="Times New Roman"/>
                <w:b/>
                <w:bCs/>
                <w:color w:val="000000"/>
                <w:sz w:val="18"/>
                <w:szCs w:val="20"/>
                <w:lang w:eastAsia="en-GB"/>
              </w:rPr>
              <w:t>Ach</w:t>
            </w:r>
          </w:p>
        </w:tc>
        <w:tc>
          <w:tcPr>
            <w:tcW w:w="392" w:type="pct"/>
            <w:vMerge/>
            <w:tcBorders>
              <w:top w:val="single" w:sz="4" w:space="0" w:color="auto"/>
              <w:left w:val="single" w:sz="4" w:space="0" w:color="auto"/>
              <w:bottom w:val="single" w:sz="4" w:space="0" w:color="auto"/>
              <w:right w:val="single" w:sz="4" w:space="0" w:color="auto"/>
            </w:tcBorders>
            <w:shd w:val="clear" w:color="000000" w:fill="BFBFBF"/>
            <w:vAlign w:val="center"/>
            <w:hideMark/>
          </w:tcPr>
          <w:p w:rsidR="004D6D36" w:rsidRPr="00DA0248" w:rsidRDefault="004D6D36" w:rsidP="009640EE">
            <w:pPr>
              <w:spacing w:after="0" w:line="240" w:lineRule="auto"/>
              <w:rPr>
                <w:rFonts w:ascii="Calibri" w:eastAsia="Times New Roman" w:hAnsi="Calibri" w:cs="Times New Roman"/>
                <w:b/>
                <w:bCs/>
                <w:sz w:val="18"/>
                <w:szCs w:val="20"/>
                <w:lang w:eastAsia="en-GB"/>
              </w:rPr>
            </w:pPr>
          </w:p>
        </w:tc>
        <w:tc>
          <w:tcPr>
            <w:tcW w:w="47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D6D36" w:rsidRPr="00DA0248" w:rsidRDefault="004D6D36" w:rsidP="009217A8">
            <w:pPr>
              <w:spacing w:after="0" w:line="240" w:lineRule="auto"/>
              <w:jc w:val="center"/>
              <w:rPr>
                <w:rFonts w:ascii="Calibri" w:eastAsia="Times New Roman" w:hAnsi="Calibri" w:cs="Times New Roman"/>
                <w:b/>
                <w:bCs/>
                <w:color w:val="000000"/>
                <w:sz w:val="18"/>
                <w:szCs w:val="20"/>
                <w:lang w:eastAsia="en-GB"/>
              </w:rPr>
            </w:pPr>
            <w:r w:rsidRPr="00DA0248">
              <w:rPr>
                <w:rFonts w:ascii="Calibri" w:eastAsia="Times New Roman" w:hAnsi="Calibri" w:cs="Times New Roman"/>
                <w:b/>
                <w:bCs/>
                <w:color w:val="000000"/>
                <w:sz w:val="18"/>
                <w:szCs w:val="20"/>
                <w:lang w:eastAsia="en-GB"/>
              </w:rPr>
              <w:t>Students</w:t>
            </w:r>
          </w:p>
        </w:tc>
        <w:tc>
          <w:tcPr>
            <w:tcW w:w="410"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4D6D36" w:rsidRPr="00DA0248" w:rsidRDefault="004D6D36" w:rsidP="009217A8">
            <w:pPr>
              <w:spacing w:after="0" w:line="240" w:lineRule="auto"/>
              <w:jc w:val="center"/>
              <w:rPr>
                <w:rFonts w:ascii="Calibri" w:eastAsia="Times New Roman" w:hAnsi="Calibri" w:cs="Times New Roman"/>
                <w:b/>
                <w:bCs/>
                <w:color w:val="000000"/>
                <w:sz w:val="18"/>
                <w:szCs w:val="20"/>
                <w:lang w:eastAsia="en-GB"/>
              </w:rPr>
            </w:pPr>
            <w:r w:rsidRPr="00DA0248">
              <w:rPr>
                <w:rFonts w:ascii="Calibri" w:eastAsia="Times New Roman" w:hAnsi="Calibri" w:cs="Times New Roman"/>
                <w:b/>
                <w:bCs/>
                <w:color w:val="000000"/>
                <w:sz w:val="18"/>
                <w:szCs w:val="20"/>
                <w:lang w:eastAsia="en-GB"/>
              </w:rPr>
              <w:t>Enrols</w:t>
            </w:r>
          </w:p>
        </w:tc>
        <w:tc>
          <w:tcPr>
            <w:tcW w:w="390"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4D6D36" w:rsidRPr="00DA0248" w:rsidRDefault="004D6D36" w:rsidP="009217A8">
            <w:pPr>
              <w:spacing w:after="0" w:line="240" w:lineRule="auto"/>
              <w:jc w:val="center"/>
              <w:rPr>
                <w:rFonts w:ascii="Calibri" w:eastAsia="Times New Roman" w:hAnsi="Calibri" w:cs="Times New Roman"/>
                <w:b/>
                <w:bCs/>
                <w:color w:val="000000"/>
                <w:sz w:val="18"/>
                <w:szCs w:val="20"/>
                <w:lang w:eastAsia="en-GB"/>
              </w:rPr>
            </w:pPr>
            <w:r w:rsidRPr="00DA0248">
              <w:rPr>
                <w:rFonts w:ascii="Calibri" w:eastAsia="Times New Roman" w:hAnsi="Calibri" w:cs="Times New Roman"/>
                <w:b/>
                <w:bCs/>
                <w:color w:val="000000"/>
                <w:sz w:val="18"/>
                <w:szCs w:val="20"/>
                <w:lang w:eastAsia="en-GB"/>
              </w:rPr>
              <w:t>Ach</w:t>
            </w:r>
          </w:p>
        </w:tc>
      </w:tr>
      <w:tr w:rsidR="004D6D36" w:rsidRPr="009640EE" w:rsidTr="00A11CD2">
        <w:trPr>
          <w:trHeight w:val="320"/>
        </w:trPr>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9640EE">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Asian/Asian British</w:t>
            </w:r>
          </w:p>
        </w:tc>
        <w:tc>
          <w:tcPr>
            <w:tcW w:w="471" w:type="pct"/>
            <w:tcBorders>
              <w:top w:val="single" w:sz="4" w:space="0" w:color="auto"/>
              <w:left w:val="single" w:sz="4" w:space="0" w:color="auto"/>
              <w:bottom w:val="single" w:sz="4" w:space="0" w:color="auto"/>
              <w:right w:val="single" w:sz="4" w:space="0" w:color="auto"/>
            </w:tcBorders>
            <w:vAlign w:val="center"/>
          </w:tcPr>
          <w:p w:rsidR="004D6D36" w:rsidRPr="009640EE" w:rsidRDefault="006C180D" w:rsidP="00A11CD2">
            <w:pPr>
              <w:spacing w:after="0" w:line="240" w:lineRule="auto"/>
              <w:jc w:val="center"/>
              <w:rPr>
                <w:rFonts w:ascii="Calibri" w:eastAsia="Times New Roman" w:hAnsi="Calibri" w:cs="Times New Roman"/>
                <w:sz w:val="20"/>
                <w:szCs w:val="20"/>
                <w:lang w:eastAsia="en-GB"/>
              </w:rPr>
            </w:pPr>
            <w:r>
              <w:rPr>
                <w:rFonts w:ascii="Calibri" w:eastAsia="Times New Roman" w:hAnsi="Calibri" w:cs="Times New Roman"/>
                <w:sz w:val="20"/>
                <w:szCs w:val="20"/>
                <w:lang w:eastAsia="en-GB"/>
              </w:rPr>
              <w:t>89</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143</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88.8%</w:t>
            </w:r>
          </w:p>
        </w:tc>
        <w:tc>
          <w:tcPr>
            <w:tcW w:w="470" w:type="pct"/>
            <w:tcBorders>
              <w:top w:val="single" w:sz="4" w:space="0" w:color="auto"/>
              <w:left w:val="single" w:sz="4" w:space="0" w:color="auto"/>
              <w:bottom w:val="single" w:sz="4" w:space="0" w:color="auto"/>
              <w:right w:val="single" w:sz="4" w:space="0" w:color="auto"/>
            </w:tcBorders>
            <w:vAlign w:val="center"/>
          </w:tcPr>
          <w:p w:rsidR="004D6D36" w:rsidRPr="009640EE" w:rsidRDefault="00BF53FB" w:rsidP="00A11CD2">
            <w:pPr>
              <w:spacing w:after="0" w:line="240" w:lineRule="auto"/>
              <w:jc w:val="center"/>
              <w:rPr>
                <w:rFonts w:ascii="Calibri" w:eastAsia="Times New Roman" w:hAnsi="Calibri" w:cs="Times New Roman"/>
                <w:sz w:val="20"/>
                <w:szCs w:val="20"/>
                <w:lang w:eastAsia="en-GB"/>
              </w:rPr>
            </w:pPr>
            <w:r>
              <w:rPr>
                <w:rFonts w:ascii="Calibri" w:eastAsia="Times New Roman" w:hAnsi="Calibri" w:cs="Times New Roman"/>
                <w:sz w:val="20"/>
                <w:szCs w:val="20"/>
                <w:lang w:eastAsia="en-GB"/>
              </w:rPr>
              <w:t>77</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138</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90.6%</w:t>
            </w:r>
          </w:p>
        </w:tc>
        <w:tc>
          <w:tcPr>
            <w:tcW w:w="392"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4D6D36" w:rsidRPr="009640EE" w:rsidRDefault="004D6D36" w:rsidP="00A11CD2">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86.3%</w:t>
            </w:r>
          </w:p>
        </w:tc>
        <w:tc>
          <w:tcPr>
            <w:tcW w:w="471" w:type="pct"/>
            <w:tcBorders>
              <w:top w:val="single" w:sz="4" w:space="0" w:color="auto"/>
              <w:left w:val="single" w:sz="4" w:space="0" w:color="auto"/>
              <w:bottom w:val="single" w:sz="4" w:space="0" w:color="auto"/>
              <w:right w:val="single" w:sz="4" w:space="0" w:color="auto"/>
            </w:tcBorders>
            <w:vAlign w:val="center"/>
          </w:tcPr>
          <w:p w:rsidR="004D6D36" w:rsidRPr="009640EE" w:rsidRDefault="00A11CD2" w:rsidP="00A11CD2">
            <w:pPr>
              <w:spacing w:after="0" w:line="240" w:lineRule="auto"/>
              <w:jc w:val="center"/>
              <w:rPr>
                <w:rFonts w:ascii="Calibri" w:eastAsia="Times New Roman" w:hAnsi="Calibri" w:cs="Times New Roman"/>
                <w:sz w:val="20"/>
                <w:szCs w:val="20"/>
                <w:lang w:eastAsia="en-GB"/>
              </w:rPr>
            </w:pPr>
            <w:r>
              <w:rPr>
                <w:rFonts w:ascii="Calibri" w:eastAsia="Times New Roman" w:hAnsi="Calibri" w:cs="Times New Roman"/>
                <w:sz w:val="20"/>
                <w:szCs w:val="20"/>
                <w:lang w:eastAsia="en-GB"/>
              </w:rPr>
              <w:t>75</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107</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84.1%</w:t>
            </w:r>
          </w:p>
        </w:tc>
      </w:tr>
      <w:tr w:rsidR="004D6D36" w:rsidRPr="009640EE" w:rsidTr="00A11CD2">
        <w:trPr>
          <w:trHeight w:val="320"/>
        </w:trPr>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9640EE">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Black/African/Caribbean/Black British</w:t>
            </w:r>
          </w:p>
        </w:tc>
        <w:tc>
          <w:tcPr>
            <w:tcW w:w="471" w:type="pct"/>
            <w:tcBorders>
              <w:top w:val="single" w:sz="4" w:space="0" w:color="auto"/>
              <w:left w:val="single" w:sz="4" w:space="0" w:color="auto"/>
              <w:bottom w:val="single" w:sz="4" w:space="0" w:color="auto"/>
              <w:right w:val="single" w:sz="4" w:space="0" w:color="auto"/>
            </w:tcBorders>
            <w:vAlign w:val="center"/>
          </w:tcPr>
          <w:p w:rsidR="004D6D36" w:rsidRPr="009640EE" w:rsidRDefault="006C180D" w:rsidP="00A11CD2">
            <w:pPr>
              <w:spacing w:after="0" w:line="240" w:lineRule="auto"/>
              <w:jc w:val="center"/>
              <w:rPr>
                <w:rFonts w:ascii="Calibri" w:eastAsia="Times New Roman" w:hAnsi="Calibri" w:cs="Times New Roman"/>
                <w:sz w:val="20"/>
                <w:szCs w:val="20"/>
                <w:lang w:eastAsia="en-GB"/>
              </w:rPr>
            </w:pPr>
            <w:r>
              <w:rPr>
                <w:rFonts w:ascii="Calibri" w:eastAsia="Times New Roman" w:hAnsi="Calibri" w:cs="Times New Roman"/>
                <w:sz w:val="20"/>
                <w:szCs w:val="20"/>
                <w:lang w:eastAsia="en-GB"/>
              </w:rPr>
              <w:t>69</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120</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90.8%</w:t>
            </w:r>
          </w:p>
        </w:tc>
        <w:tc>
          <w:tcPr>
            <w:tcW w:w="470" w:type="pct"/>
            <w:tcBorders>
              <w:top w:val="single" w:sz="4" w:space="0" w:color="auto"/>
              <w:left w:val="single" w:sz="4" w:space="0" w:color="auto"/>
              <w:bottom w:val="single" w:sz="4" w:space="0" w:color="auto"/>
              <w:right w:val="single" w:sz="4" w:space="0" w:color="auto"/>
            </w:tcBorders>
            <w:vAlign w:val="center"/>
          </w:tcPr>
          <w:p w:rsidR="004D6D36" w:rsidRPr="009640EE" w:rsidRDefault="00BF53FB" w:rsidP="00A11CD2">
            <w:pPr>
              <w:spacing w:after="0" w:line="240" w:lineRule="auto"/>
              <w:jc w:val="center"/>
              <w:rPr>
                <w:rFonts w:ascii="Calibri" w:eastAsia="Times New Roman" w:hAnsi="Calibri" w:cs="Times New Roman"/>
                <w:sz w:val="20"/>
                <w:szCs w:val="20"/>
                <w:lang w:eastAsia="en-GB"/>
              </w:rPr>
            </w:pPr>
            <w:r>
              <w:rPr>
                <w:rFonts w:ascii="Calibri" w:eastAsia="Times New Roman" w:hAnsi="Calibri" w:cs="Times New Roman"/>
                <w:sz w:val="20"/>
                <w:szCs w:val="20"/>
                <w:lang w:eastAsia="en-GB"/>
              </w:rPr>
              <w:t>84</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136</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77.9%</w:t>
            </w:r>
          </w:p>
        </w:tc>
        <w:tc>
          <w:tcPr>
            <w:tcW w:w="392"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4D6D36" w:rsidRPr="009640EE" w:rsidRDefault="004D6D36" w:rsidP="00A11CD2">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83.6%</w:t>
            </w:r>
          </w:p>
        </w:tc>
        <w:tc>
          <w:tcPr>
            <w:tcW w:w="471" w:type="pct"/>
            <w:tcBorders>
              <w:top w:val="single" w:sz="4" w:space="0" w:color="auto"/>
              <w:left w:val="single" w:sz="4" w:space="0" w:color="auto"/>
              <w:bottom w:val="single" w:sz="4" w:space="0" w:color="auto"/>
              <w:right w:val="single" w:sz="4" w:space="0" w:color="auto"/>
            </w:tcBorders>
            <w:vAlign w:val="center"/>
          </w:tcPr>
          <w:p w:rsidR="004D6D36" w:rsidRPr="009640EE" w:rsidRDefault="00A11CD2" w:rsidP="00A11CD2">
            <w:pPr>
              <w:spacing w:after="0" w:line="240" w:lineRule="auto"/>
              <w:jc w:val="center"/>
              <w:rPr>
                <w:rFonts w:ascii="Calibri" w:eastAsia="Times New Roman" w:hAnsi="Calibri" w:cs="Times New Roman"/>
                <w:sz w:val="20"/>
                <w:szCs w:val="20"/>
                <w:lang w:eastAsia="en-GB"/>
              </w:rPr>
            </w:pPr>
            <w:r>
              <w:rPr>
                <w:rFonts w:ascii="Calibri" w:eastAsia="Times New Roman" w:hAnsi="Calibri" w:cs="Times New Roman"/>
                <w:sz w:val="20"/>
                <w:szCs w:val="20"/>
                <w:lang w:eastAsia="en-GB"/>
              </w:rPr>
              <w:t>68</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99</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75.8%</w:t>
            </w:r>
          </w:p>
        </w:tc>
      </w:tr>
      <w:tr w:rsidR="004D6D36" w:rsidRPr="009640EE" w:rsidTr="00A11CD2">
        <w:trPr>
          <w:trHeight w:val="320"/>
        </w:trPr>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9640EE">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Mixed/Multiple Ethnic Groups</w:t>
            </w:r>
          </w:p>
        </w:tc>
        <w:tc>
          <w:tcPr>
            <w:tcW w:w="471" w:type="pct"/>
            <w:tcBorders>
              <w:top w:val="single" w:sz="4" w:space="0" w:color="auto"/>
              <w:left w:val="single" w:sz="4" w:space="0" w:color="auto"/>
              <w:bottom w:val="single" w:sz="4" w:space="0" w:color="auto"/>
              <w:right w:val="single" w:sz="4" w:space="0" w:color="auto"/>
            </w:tcBorders>
            <w:vAlign w:val="center"/>
          </w:tcPr>
          <w:p w:rsidR="004D6D36" w:rsidRPr="009640EE" w:rsidRDefault="006C180D" w:rsidP="00A11CD2">
            <w:pPr>
              <w:spacing w:after="0" w:line="240" w:lineRule="auto"/>
              <w:jc w:val="center"/>
              <w:rPr>
                <w:rFonts w:ascii="Calibri" w:eastAsia="Times New Roman" w:hAnsi="Calibri" w:cs="Times New Roman"/>
                <w:sz w:val="20"/>
                <w:szCs w:val="20"/>
                <w:lang w:eastAsia="en-GB"/>
              </w:rPr>
            </w:pPr>
            <w:r>
              <w:rPr>
                <w:rFonts w:ascii="Calibri" w:eastAsia="Times New Roman" w:hAnsi="Calibri" w:cs="Times New Roman"/>
                <w:sz w:val="20"/>
                <w:szCs w:val="20"/>
                <w:lang w:eastAsia="en-GB"/>
              </w:rPr>
              <w:t>49</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103</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91.3%</w:t>
            </w:r>
          </w:p>
        </w:tc>
        <w:tc>
          <w:tcPr>
            <w:tcW w:w="470" w:type="pct"/>
            <w:tcBorders>
              <w:top w:val="single" w:sz="4" w:space="0" w:color="auto"/>
              <w:left w:val="single" w:sz="4" w:space="0" w:color="auto"/>
              <w:bottom w:val="single" w:sz="4" w:space="0" w:color="auto"/>
              <w:right w:val="single" w:sz="4" w:space="0" w:color="auto"/>
            </w:tcBorders>
            <w:vAlign w:val="center"/>
          </w:tcPr>
          <w:p w:rsidR="004D6D36" w:rsidRPr="009640EE" w:rsidRDefault="00BF53FB" w:rsidP="00A11CD2">
            <w:pPr>
              <w:spacing w:after="0" w:line="240" w:lineRule="auto"/>
              <w:jc w:val="center"/>
              <w:rPr>
                <w:rFonts w:ascii="Calibri" w:eastAsia="Times New Roman" w:hAnsi="Calibri" w:cs="Times New Roman"/>
                <w:sz w:val="20"/>
                <w:szCs w:val="20"/>
                <w:lang w:eastAsia="en-GB"/>
              </w:rPr>
            </w:pPr>
            <w:r>
              <w:rPr>
                <w:rFonts w:ascii="Calibri" w:eastAsia="Times New Roman" w:hAnsi="Calibri" w:cs="Times New Roman"/>
                <w:sz w:val="20"/>
                <w:szCs w:val="20"/>
                <w:lang w:eastAsia="en-GB"/>
              </w:rPr>
              <w:t>56</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113</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90.3%</w:t>
            </w:r>
          </w:p>
        </w:tc>
        <w:tc>
          <w:tcPr>
            <w:tcW w:w="392"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4D6D36" w:rsidRPr="009640EE" w:rsidRDefault="004D6D36" w:rsidP="00A11CD2">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81.1%</w:t>
            </w:r>
          </w:p>
        </w:tc>
        <w:tc>
          <w:tcPr>
            <w:tcW w:w="471" w:type="pct"/>
            <w:tcBorders>
              <w:top w:val="single" w:sz="4" w:space="0" w:color="auto"/>
              <w:left w:val="single" w:sz="4" w:space="0" w:color="auto"/>
              <w:bottom w:val="single" w:sz="4" w:space="0" w:color="auto"/>
              <w:right w:val="single" w:sz="4" w:space="0" w:color="auto"/>
            </w:tcBorders>
            <w:vAlign w:val="center"/>
          </w:tcPr>
          <w:p w:rsidR="004D6D36" w:rsidRPr="009640EE" w:rsidRDefault="00A11CD2" w:rsidP="00A11CD2">
            <w:pPr>
              <w:spacing w:after="0" w:line="240" w:lineRule="auto"/>
              <w:jc w:val="center"/>
              <w:rPr>
                <w:rFonts w:ascii="Calibri" w:eastAsia="Times New Roman" w:hAnsi="Calibri" w:cs="Times New Roman"/>
                <w:sz w:val="20"/>
                <w:szCs w:val="20"/>
                <w:lang w:eastAsia="en-GB"/>
              </w:rPr>
            </w:pPr>
            <w:r>
              <w:rPr>
                <w:rFonts w:ascii="Calibri" w:eastAsia="Times New Roman" w:hAnsi="Calibri" w:cs="Times New Roman"/>
                <w:sz w:val="20"/>
                <w:szCs w:val="20"/>
                <w:lang w:eastAsia="en-GB"/>
              </w:rPr>
              <w:t>46</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74</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82.4%</w:t>
            </w:r>
          </w:p>
        </w:tc>
      </w:tr>
      <w:tr w:rsidR="004D6D36" w:rsidRPr="009640EE" w:rsidTr="00A11CD2">
        <w:trPr>
          <w:trHeight w:val="320"/>
        </w:trPr>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9640EE">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Other Ethnic Group</w:t>
            </w:r>
          </w:p>
        </w:tc>
        <w:tc>
          <w:tcPr>
            <w:tcW w:w="471" w:type="pct"/>
            <w:tcBorders>
              <w:top w:val="single" w:sz="4" w:space="0" w:color="auto"/>
              <w:left w:val="single" w:sz="4" w:space="0" w:color="auto"/>
              <w:bottom w:val="single" w:sz="4" w:space="0" w:color="auto"/>
              <w:right w:val="single" w:sz="4" w:space="0" w:color="auto"/>
            </w:tcBorders>
            <w:vAlign w:val="center"/>
          </w:tcPr>
          <w:p w:rsidR="004D6D36" w:rsidRPr="009640EE" w:rsidRDefault="006C180D" w:rsidP="00A11CD2">
            <w:pPr>
              <w:spacing w:after="0" w:line="240" w:lineRule="auto"/>
              <w:jc w:val="center"/>
              <w:rPr>
                <w:rFonts w:ascii="Calibri" w:eastAsia="Times New Roman" w:hAnsi="Calibri" w:cs="Times New Roman"/>
                <w:sz w:val="20"/>
                <w:szCs w:val="20"/>
                <w:lang w:eastAsia="en-GB"/>
              </w:rPr>
            </w:pPr>
            <w:r>
              <w:rPr>
                <w:rFonts w:ascii="Calibri" w:eastAsia="Times New Roman" w:hAnsi="Calibri" w:cs="Times New Roman"/>
                <w:sz w:val="20"/>
                <w:szCs w:val="20"/>
                <w:lang w:eastAsia="en-GB"/>
              </w:rPr>
              <w:t>25</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39</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84.6%</w:t>
            </w:r>
          </w:p>
        </w:tc>
        <w:tc>
          <w:tcPr>
            <w:tcW w:w="470" w:type="pct"/>
            <w:tcBorders>
              <w:top w:val="single" w:sz="4" w:space="0" w:color="auto"/>
              <w:left w:val="single" w:sz="4" w:space="0" w:color="auto"/>
              <w:bottom w:val="single" w:sz="4" w:space="0" w:color="auto"/>
              <w:right w:val="single" w:sz="4" w:space="0" w:color="auto"/>
            </w:tcBorders>
            <w:vAlign w:val="center"/>
          </w:tcPr>
          <w:p w:rsidR="004D6D36" w:rsidRPr="009640EE" w:rsidRDefault="00BF53FB" w:rsidP="00A11CD2">
            <w:pPr>
              <w:spacing w:after="0" w:line="240" w:lineRule="auto"/>
              <w:jc w:val="center"/>
              <w:rPr>
                <w:rFonts w:ascii="Calibri" w:eastAsia="Times New Roman" w:hAnsi="Calibri" w:cs="Times New Roman"/>
                <w:sz w:val="20"/>
                <w:szCs w:val="20"/>
                <w:lang w:eastAsia="en-GB"/>
              </w:rPr>
            </w:pPr>
            <w:r>
              <w:rPr>
                <w:rFonts w:ascii="Calibri" w:eastAsia="Times New Roman" w:hAnsi="Calibri" w:cs="Times New Roman"/>
                <w:sz w:val="20"/>
                <w:szCs w:val="20"/>
                <w:lang w:eastAsia="en-GB"/>
              </w:rPr>
              <w:t>21</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34</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82.4%</w:t>
            </w:r>
          </w:p>
        </w:tc>
        <w:tc>
          <w:tcPr>
            <w:tcW w:w="392"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4D6D36" w:rsidRPr="009640EE" w:rsidRDefault="004D6D36" w:rsidP="00A11CD2">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86.0%</w:t>
            </w:r>
          </w:p>
        </w:tc>
        <w:tc>
          <w:tcPr>
            <w:tcW w:w="471" w:type="pct"/>
            <w:tcBorders>
              <w:top w:val="single" w:sz="4" w:space="0" w:color="auto"/>
              <w:left w:val="single" w:sz="4" w:space="0" w:color="auto"/>
              <w:bottom w:val="single" w:sz="4" w:space="0" w:color="auto"/>
              <w:right w:val="single" w:sz="4" w:space="0" w:color="auto"/>
            </w:tcBorders>
            <w:vAlign w:val="center"/>
          </w:tcPr>
          <w:p w:rsidR="004D6D36" w:rsidRPr="009640EE" w:rsidRDefault="00A11CD2" w:rsidP="00A11CD2">
            <w:pPr>
              <w:spacing w:after="0" w:line="240" w:lineRule="auto"/>
              <w:jc w:val="center"/>
              <w:rPr>
                <w:rFonts w:ascii="Calibri" w:eastAsia="Times New Roman" w:hAnsi="Calibri" w:cs="Times New Roman"/>
                <w:sz w:val="20"/>
                <w:szCs w:val="20"/>
                <w:lang w:eastAsia="en-GB"/>
              </w:rPr>
            </w:pPr>
            <w:r>
              <w:rPr>
                <w:rFonts w:ascii="Calibri" w:eastAsia="Times New Roman" w:hAnsi="Calibri" w:cs="Times New Roman"/>
                <w:sz w:val="20"/>
                <w:szCs w:val="20"/>
                <w:lang w:eastAsia="en-GB"/>
              </w:rPr>
              <w:t>24</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42</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69.0%</w:t>
            </w:r>
          </w:p>
        </w:tc>
      </w:tr>
      <w:tr w:rsidR="004D6D36" w:rsidRPr="009640EE" w:rsidTr="00A11CD2">
        <w:trPr>
          <w:trHeight w:val="320"/>
        </w:trPr>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9640EE">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Unknown</w:t>
            </w:r>
          </w:p>
        </w:tc>
        <w:tc>
          <w:tcPr>
            <w:tcW w:w="471" w:type="pct"/>
            <w:tcBorders>
              <w:top w:val="single" w:sz="4" w:space="0" w:color="auto"/>
              <w:left w:val="single" w:sz="4" w:space="0" w:color="auto"/>
              <w:bottom w:val="single" w:sz="4" w:space="0" w:color="auto"/>
              <w:right w:val="single" w:sz="4" w:space="0" w:color="auto"/>
            </w:tcBorders>
            <w:vAlign w:val="center"/>
          </w:tcPr>
          <w:p w:rsidR="004D6D36" w:rsidRPr="009640EE" w:rsidRDefault="006C180D" w:rsidP="00A11CD2">
            <w:pPr>
              <w:spacing w:after="0" w:line="240" w:lineRule="auto"/>
              <w:jc w:val="center"/>
              <w:rPr>
                <w:rFonts w:ascii="Calibri" w:eastAsia="Times New Roman" w:hAnsi="Calibri" w:cs="Times New Roman"/>
                <w:sz w:val="20"/>
                <w:szCs w:val="20"/>
                <w:lang w:eastAsia="en-GB"/>
              </w:rPr>
            </w:pPr>
            <w:r>
              <w:rPr>
                <w:rFonts w:ascii="Calibri" w:eastAsia="Times New Roman" w:hAnsi="Calibri" w:cs="Times New Roman"/>
                <w:sz w:val="20"/>
                <w:szCs w:val="20"/>
                <w:lang w:eastAsia="en-GB"/>
              </w:rPr>
              <w:t>7</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11</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90.9%</w:t>
            </w:r>
          </w:p>
        </w:tc>
        <w:tc>
          <w:tcPr>
            <w:tcW w:w="470" w:type="pct"/>
            <w:tcBorders>
              <w:top w:val="single" w:sz="4" w:space="0" w:color="auto"/>
              <w:left w:val="single" w:sz="4" w:space="0" w:color="auto"/>
              <w:bottom w:val="single" w:sz="4" w:space="0" w:color="auto"/>
              <w:right w:val="single" w:sz="4" w:space="0" w:color="auto"/>
            </w:tcBorders>
            <w:vAlign w:val="center"/>
          </w:tcPr>
          <w:p w:rsidR="004D6D36" w:rsidRPr="009640EE" w:rsidRDefault="00BF53FB" w:rsidP="00A11CD2">
            <w:pPr>
              <w:spacing w:after="0" w:line="240" w:lineRule="auto"/>
              <w:jc w:val="center"/>
              <w:rPr>
                <w:rFonts w:ascii="Calibri" w:eastAsia="Times New Roman" w:hAnsi="Calibri" w:cs="Times New Roman"/>
                <w:sz w:val="20"/>
                <w:szCs w:val="20"/>
                <w:lang w:eastAsia="en-GB"/>
              </w:rPr>
            </w:pPr>
            <w:r>
              <w:rPr>
                <w:rFonts w:ascii="Calibri" w:eastAsia="Times New Roman" w:hAnsi="Calibri" w:cs="Times New Roman"/>
                <w:sz w:val="20"/>
                <w:szCs w:val="20"/>
                <w:lang w:eastAsia="en-GB"/>
              </w:rPr>
              <w:t>9</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15</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86.7%</w:t>
            </w:r>
          </w:p>
        </w:tc>
        <w:tc>
          <w:tcPr>
            <w:tcW w:w="392"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4D6D36" w:rsidRPr="009640EE" w:rsidRDefault="004D6D36" w:rsidP="00A11CD2">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81.4%</w:t>
            </w:r>
          </w:p>
        </w:tc>
        <w:tc>
          <w:tcPr>
            <w:tcW w:w="471" w:type="pct"/>
            <w:tcBorders>
              <w:top w:val="single" w:sz="4" w:space="0" w:color="auto"/>
              <w:left w:val="single" w:sz="4" w:space="0" w:color="auto"/>
              <w:bottom w:val="single" w:sz="4" w:space="0" w:color="auto"/>
              <w:right w:val="single" w:sz="4" w:space="0" w:color="auto"/>
            </w:tcBorders>
            <w:vAlign w:val="center"/>
          </w:tcPr>
          <w:p w:rsidR="004D6D36" w:rsidRPr="009640EE" w:rsidRDefault="00A11CD2" w:rsidP="00A11CD2">
            <w:pPr>
              <w:spacing w:after="0" w:line="240" w:lineRule="auto"/>
              <w:jc w:val="center"/>
              <w:rPr>
                <w:rFonts w:ascii="Calibri" w:eastAsia="Times New Roman" w:hAnsi="Calibri" w:cs="Times New Roman"/>
                <w:sz w:val="20"/>
                <w:szCs w:val="20"/>
                <w:lang w:eastAsia="en-GB"/>
              </w:rPr>
            </w:pPr>
            <w:r>
              <w:rPr>
                <w:rFonts w:ascii="Calibri" w:eastAsia="Times New Roman" w:hAnsi="Calibri" w:cs="Times New Roman"/>
                <w:sz w:val="20"/>
                <w:szCs w:val="20"/>
                <w:lang w:eastAsia="en-GB"/>
              </w:rPr>
              <w:t>1</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3</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100%</w:t>
            </w:r>
          </w:p>
        </w:tc>
      </w:tr>
      <w:tr w:rsidR="004D6D36" w:rsidRPr="009640EE" w:rsidTr="00A11CD2">
        <w:trPr>
          <w:trHeight w:val="320"/>
        </w:trPr>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471" w:type="pct"/>
            <w:tcBorders>
              <w:top w:val="single" w:sz="4" w:space="0" w:color="auto"/>
              <w:left w:val="single" w:sz="4" w:space="0" w:color="auto"/>
              <w:bottom w:val="single" w:sz="4" w:space="0" w:color="auto"/>
              <w:right w:val="single" w:sz="4" w:space="0" w:color="auto"/>
            </w:tcBorders>
            <w:vAlign w:val="center"/>
          </w:tcPr>
          <w:p w:rsidR="004D6D36" w:rsidRPr="009640EE" w:rsidRDefault="004D6D36" w:rsidP="00A11CD2">
            <w:pPr>
              <w:spacing w:after="0" w:line="240" w:lineRule="auto"/>
              <w:jc w:val="center"/>
              <w:rPr>
                <w:rFonts w:ascii="Calibri" w:eastAsia="Times New Roman" w:hAnsi="Calibri" w:cs="Times New Roman"/>
                <w:color w:val="FF0000"/>
                <w:sz w:val="20"/>
                <w:szCs w:val="20"/>
                <w:lang w:eastAsia="en-GB"/>
              </w:rPr>
            </w:pP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color w:val="FF0000"/>
                <w:sz w:val="20"/>
                <w:szCs w:val="20"/>
                <w:lang w:eastAsia="en-GB"/>
              </w:rPr>
            </w:pP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color w:val="FF0000"/>
                <w:sz w:val="20"/>
                <w:szCs w:val="20"/>
                <w:lang w:eastAsia="en-GB"/>
              </w:rPr>
            </w:pPr>
          </w:p>
        </w:tc>
        <w:tc>
          <w:tcPr>
            <w:tcW w:w="470" w:type="pct"/>
            <w:tcBorders>
              <w:top w:val="single" w:sz="4" w:space="0" w:color="auto"/>
              <w:left w:val="single" w:sz="4" w:space="0" w:color="auto"/>
              <w:bottom w:val="single" w:sz="4" w:space="0" w:color="auto"/>
              <w:right w:val="single" w:sz="4" w:space="0" w:color="auto"/>
            </w:tcBorders>
            <w:vAlign w:val="center"/>
          </w:tcPr>
          <w:p w:rsidR="004D6D36" w:rsidRPr="009640EE" w:rsidRDefault="004D6D36" w:rsidP="00A11CD2">
            <w:pPr>
              <w:spacing w:after="0" w:line="240" w:lineRule="auto"/>
              <w:jc w:val="center"/>
              <w:rPr>
                <w:rFonts w:ascii="Calibri" w:eastAsia="Times New Roman" w:hAnsi="Calibri" w:cs="Times New Roman"/>
                <w:color w:val="FF0000"/>
                <w:sz w:val="20"/>
                <w:szCs w:val="20"/>
                <w:lang w:eastAsia="en-GB"/>
              </w:rPr>
            </w:pP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color w:val="FF0000"/>
                <w:sz w:val="20"/>
                <w:szCs w:val="20"/>
                <w:lang w:eastAsia="en-GB"/>
              </w:rPr>
            </w:pP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color w:val="FF0000"/>
                <w:sz w:val="20"/>
                <w:szCs w:val="20"/>
                <w:lang w:eastAsia="en-GB"/>
              </w:rPr>
            </w:pPr>
          </w:p>
        </w:tc>
        <w:tc>
          <w:tcPr>
            <w:tcW w:w="392"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4D6D36" w:rsidRPr="009640EE" w:rsidRDefault="004D6D36" w:rsidP="00A11CD2">
            <w:pPr>
              <w:spacing w:after="0" w:line="240" w:lineRule="auto"/>
              <w:jc w:val="center"/>
              <w:rPr>
                <w:rFonts w:ascii="Calibri" w:eastAsia="Times New Roman" w:hAnsi="Calibri" w:cs="Times New Roman"/>
                <w:b/>
                <w:bCs/>
                <w:sz w:val="20"/>
                <w:szCs w:val="20"/>
                <w:lang w:eastAsia="en-GB"/>
              </w:rPr>
            </w:pPr>
          </w:p>
        </w:tc>
        <w:tc>
          <w:tcPr>
            <w:tcW w:w="471" w:type="pct"/>
            <w:tcBorders>
              <w:top w:val="single" w:sz="4" w:space="0" w:color="auto"/>
              <w:left w:val="single" w:sz="4" w:space="0" w:color="auto"/>
              <w:bottom w:val="single" w:sz="4" w:space="0" w:color="auto"/>
              <w:right w:val="single" w:sz="4" w:space="0" w:color="auto"/>
            </w:tcBorders>
            <w:vAlign w:val="center"/>
          </w:tcPr>
          <w:p w:rsidR="004D6D36" w:rsidRPr="009640EE" w:rsidRDefault="004D6D36" w:rsidP="00A11CD2">
            <w:pPr>
              <w:spacing w:after="0" w:line="240" w:lineRule="auto"/>
              <w:jc w:val="center"/>
              <w:rPr>
                <w:rFonts w:ascii="Calibri" w:eastAsia="Times New Roman" w:hAnsi="Calibri" w:cs="Times New Roman"/>
                <w:color w:val="FF0000"/>
                <w:sz w:val="20"/>
                <w:szCs w:val="20"/>
                <w:lang w:eastAsia="en-GB"/>
              </w:rPr>
            </w:pP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color w:val="FF0000"/>
                <w:sz w:val="20"/>
                <w:szCs w:val="20"/>
                <w:lang w:eastAsia="en-GB"/>
              </w:rPr>
            </w:pP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color w:val="FF0000"/>
                <w:sz w:val="20"/>
                <w:szCs w:val="20"/>
                <w:lang w:eastAsia="en-GB"/>
              </w:rPr>
            </w:pPr>
          </w:p>
        </w:tc>
      </w:tr>
      <w:tr w:rsidR="004D6D36" w:rsidRPr="009640EE" w:rsidTr="00A11CD2">
        <w:trPr>
          <w:trHeight w:val="320"/>
        </w:trPr>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9640EE">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Other Ethnic Groups</w:t>
            </w:r>
          </w:p>
        </w:tc>
        <w:tc>
          <w:tcPr>
            <w:tcW w:w="471" w:type="pct"/>
            <w:tcBorders>
              <w:top w:val="single" w:sz="4" w:space="0" w:color="auto"/>
              <w:left w:val="single" w:sz="4" w:space="0" w:color="auto"/>
              <w:bottom w:val="single" w:sz="4" w:space="0" w:color="auto"/>
              <w:right w:val="single" w:sz="4" w:space="0" w:color="auto"/>
            </w:tcBorders>
            <w:vAlign w:val="center"/>
          </w:tcPr>
          <w:p w:rsidR="004D6D36" w:rsidRPr="009640EE" w:rsidRDefault="006C180D" w:rsidP="00A11CD2">
            <w:pPr>
              <w:spacing w:after="0" w:line="240" w:lineRule="auto"/>
              <w:jc w:val="center"/>
              <w:rPr>
                <w:rFonts w:ascii="Calibri" w:eastAsia="Times New Roman" w:hAnsi="Calibri" w:cs="Times New Roman"/>
                <w:sz w:val="20"/>
                <w:szCs w:val="20"/>
                <w:lang w:eastAsia="en-GB"/>
              </w:rPr>
            </w:pPr>
            <w:r>
              <w:rPr>
                <w:rFonts w:ascii="Calibri" w:eastAsia="Times New Roman" w:hAnsi="Calibri" w:cs="Times New Roman"/>
                <w:sz w:val="20"/>
                <w:szCs w:val="20"/>
                <w:lang w:eastAsia="en-GB"/>
              </w:rPr>
              <w:t>232</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405</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89.6%</w:t>
            </w:r>
          </w:p>
        </w:tc>
        <w:tc>
          <w:tcPr>
            <w:tcW w:w="470" w:type="pct"/>
            <w:tcBorders>
              <w:top w:val="single" w:sz="4" w:space="0" w:color="auto"/>
              <w:left w:val="single" w:sz="4" w:space="0" w:color="auto"/>
              <w:bottom w:val="single" w:sz="4" w:space="0" w:color="auto"/>
              <w:right w:val="single" w:sz="4" w:space="0" w:color="auto"/>
            </w:tcBorders>
            <w:vAlign w:val="center"/>
          </w:tcPr>
          <w:p w:rsidR="004D6D36" w:rsidRPr="009640EE" w:rsidRDefault="00BF53FB" w:rsidP="00A11CD2">
            <w:pPr>
              <w:spacing w:after="0" w:line="240" w:lineRule="auto"/>
              <w:jc w:val="center"/>
              <w:rPr>
                <w:rFonts w:ascii="Calibri" w:eastAsia="Times New Roman" w:hAnsi="Calibri" w:cs="Times New Roman"/>
                <w:sz w:val="20"/>
                <w:szCs w:val="20"/>
                <w:lang w:eastAsia="en-GB"/>
              </w:rPr>
            </w:pPr>
            <w:r>
              <w:rPr>
                <w:rFonts w:ascii="Calibri" w:eastAsia="Times New Roman" w:hAnsi="Calibri" w:cs="Times New Roman"/>
                <w:sz w:val="20"/>
                <w:szCs w:val="20"/>
                <w:lang w:eastAsia="en-GB"/>
              </w:rPr>
              <w:t>238</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421</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85.7%</w:t>
            </w:r>
          </w:p>
        </w:tc>
        <w:tc>
          <w:tcPr>
            <w:tcW w:w="392"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4D6D36" w:rsidRPr="009640EE" w:rsidRDefault="004D6D36" w:rsidP="00A11CD2">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85.0%</w:t>
            </w:r>
          </w:p>
        </w:tc>
        <w:tc>
          <w:tcPr>
            <w:tcW w:w="471" w:type="pct"/>
            <w:tcBorders>
              <w:top w:val="single" w:sz="4" w:space="0" w:color="auto"/>
              <w:left w:val="single" w:sz="4" w:space="0" w:color="auto"/>
              <w:bottom w:val="single" w:sz="4" w:space="0" w:color="auto"/>
              <w:right w:val="single" w:sz="4" w:space="0" w:color="auto"/>
            </w:tcBorders>
            <w:vAlign w:val="center"/>
          </w:tcPr>
          <w:p w:rsidR="004D6D36" w:rsidRPr="009640EE" w:rsidRDefault="00A11CD2" w:rsidP="00A11CD2">
            <w:pPr>
              <w:spacing w:after="0" w:line="240" w:lineRule="auto"/>
              <w:jc w:val="center"/>
              <w:rPr>
                <w:rFonts w:ascii="Calibri" w:eastAsia="Times New Roman" w:hAnsi="Calibri" w:cs="Times New Roman"/>
                <w:sz w:val="20"/>
                <w:szCs w:val="20"/>
                <w:lang w:eastAsia="en-GB"/>
              </w:rPr>
            </w:pPr>
            <w:r>
              <w:rPr>
                <w:rFonts w:ascii="Calibri" w:eastAsia="Times New Roman" w:hAnsi="Calibri" w:cs="Times New Roman"/>
                <w:sz w:val="20"/>
                <w:szCs w:val="20"/>
                <w:lang w:eastAsia="en-GB"/>
              </w:rPr>
              <w:t>213</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322</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79.2%</w:t>
            </w:r>
          </w:p>
        </w:tc>
      </w:tr>
      <w:tr w:rsidR="004D6D36" w:rsidRPr="009640EE" w:rsidTr="00A11CD2">
        <w:trPr>
          <w:trHeight w:val="320"/>
        </w:trPr>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9640EE">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White</w:t>
            </w:r>
          </w:p>
        </w:tc>
        <w:tc>
          <w:tcPr>
            <w:tcW w:w="471" w:type="pct"/>
            <w:tcBorders>
              <w:top w:val="single" w:sz="4" w:space="0" w:color="auto"/>
              <w:left w:val="single" w:sz="4" w:space="0" w:color="auto"/>
              <w:bottom w:val="single" w:sz="4" w:space="0" w:color="auto"/>
              <w:right w:val="single" w:sz="4" w:space="0" w:color="auto"/>
            </w:tcBorders>
            <w:vAlign w:val="center"/>
          </w:tcPr>
          <w:p w:rsidR="004D6D36" w:rsidRPr="009640EE" w:rsidRDefault="006C180D" w:rsidP="00A11CD2">
            <w:pPr>
              <w:spacing w:after="0" w:line="240" w:lineRule="auto"/>
              <w:jc w:val="center"/>
              <w:rPr>
                <w:rFonts w:ascii="Calibri" w:eastAsia="Times New Roman" w:hAnsi="Calibri" w:cs="Times New Roman"/>
                <w:sz w:val="20"/>
                <w:szCs w:val="20"/>
                <w:lang w:eastAsia="en-GB"/>
              </w:rPr>
            </w:pPr>
            <w:r>
              <w:rPr>
                <w:rFonts w:ascii="Calibri" w:eastAsia="Times New Roman" w:hAnsi="Calibri" w:cs="Times New Roman"/>
                <w:sz w:val="20"/>
                <w:szCs w:val="20"/>
                <w:lang w:eastAsia="en-GB"/>
              </w:rPr>
              <w:t>4,300</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8,424</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82.7%</w:t>
            </w:r>
          </w:p>
        </w:tc>
        <w:tc>
          <w:tcPr>
            <w:tcW w:w="470" w:type="pct"/>
            <w:tcBorders>
              <w:top w:val="single" w:sz="4" w:space="0" w:color="auto"/>
              <w:left w:val="single" w:sz="4" w:space="0" w:color="auto"/>
              <w:bottom w:val="single" w:sz="4" w:space="0" w:color="auto"/>
              <w:right w:val="single" w:sz="4" w:space="0" w:color="auto"/>
            </w:tcBorders>
            <w:vAlign w:val="center"/>
          </w:tcPr>
          <w:p w:rsidR="004D6D36" w:rsidRPr="009640EE" w:rsidRDefault="00BF53FB" w:rsidP="00A11CD2">
            <w:pPr>
              <w:spacing w:after="0" w:line="240" w:lineRule="auto"/>
              <w:jc w:val="center"/>
              <w:rPr>
                <w:rFonts w:ascii="Calibri" w:eastAsia="Times New Roman" w:hAnsi="Calibri" w:cs="Times New Roman"/>
                <w:sz w:val="20"/>
                <w:szCs w:val="20"/>
                <w:lang w:eastAsia="en-GB"/>
              </w:rPr>
            </w:pPr>
            <w:r>
              <w:rPr>
                <w:rFonts w:ascii="Calibri" w:eastAsia="Times New Roman" w:hAnsi="Calibri" w:cs="Times New Roman"/>
                <w:sz w:val="20"/>
                <w:szCs w:val="20"/>
                <w:lang w:eastAsia="en-GB"/>
              </w:rPr>
              <w:t>4,049</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8,993</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85.0%</w:t>
            </w:r>
          </w:p>
        </w:tc>
        <w:tc>
          <w:tcPr>
            <w:tcW w:w="392"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4D6D36" w:rsidRPr="009640EE" w:rsidRDefault="004D6D36" w:rsidP="00A11CD2">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84.4%</w:t>
            </w:r>
          </w:p>
        </w:tc>
        <w:tc>
          <w:tcPr>
            <w:tcW w:w="471" w:type="pct"/>
            <w:tcBorders>
              <w:top w:val="single" w:sz="4" w:space="0" w:color="auto"/>
              <w:left w:val="single" w:sz="4" w:space="0" w:color="auto"/>
              <w:bottom w:val="single" w:sz="4" w:space="0" w:color="auto"/>
              <w:right w:val="single" w:sz="4" w:space="0" w:color="auto"/>
            </w:tcBorders>
            <w:vAlign w:val="center"/>
          </w:tcPr>
          <w:p w:rsidR="004D6D36" w:rsidRPr="009640EE" w:rsidRDefault="00A11CD2" w:rsidP="00A11CD2">
            <w:pPr>
              <w:spacing w:after="0" w:line="240" w:lineRule="auto"/>
              <w:jc w:val="center"/>
              <w:rPr>
                <w:rFonts w:ascii="Calibri" w:eastAsia="Times New Roman" w:hAnsi="Calibri" w:cs="Times New Roman"/>
                <w:sz w:val="20"/>
                <w:szCs w:val="20"/>
                <w:lang w:eastAsia="en-GB"/>
              </w:rPr>
            </w:pPr>
            <w:r>
              <w:rPr>
                <w:rFonts w:ascii="Calibri" w:eastAsia="Times New Roman" w:hAnsi="Calibri" w:cs="Times New Roman"/>
                <w:sz w:val="20"/>
                <w:szCs w:val="20"/>
                <w:lang w:eastAsia="en-GB"/>
              </w:rPr>
              <w:t>3,508</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6,4</w:t>
            </w:r>
            <w:r>
              <w:rPr>
                <w:rFonts w:ascii="Calibri" w:eastAsia="Times New Roman" w:hAnsi="Calibri" w:cs="Times New Roman"/>
                <w:sz w:val="20"/>
                <w:szCs w:val="20"/>
                <w:lang w:eastAsia="en-GB"/>
              </w:rPr>
              <w:t>84</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D36" w:rsidRPr="009640EE" w:rsidRDefault="004D6D36" w:rsidP="00A11CD2">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8</w:t>
            </w:r>
            <w:r>
              <w:rPr>
                <w:rFonts w:ascii="Calibri" w:eastAsia="Times New Roman" w:hAnsi="Calibri" w:cs="Times New Roman"/>
                <w:sz w:val="20"/>
                <w:szCs w:val="20"/>
                <w:lang w:eastAsia="en-GB"/>
              </w:rPr>
              <w:t>2.9</w:t>
            </w:r>
            <w:r w:rsidRPr="009640EE">
              <w:rPr>
                <w:rFonts w:ascii="Calibri" w:eastAsia="Times New Roman" w:hAnsi="Calibri" w:cs="Times New Roman"/>
                <w:sz w:val="20"/>
                <w:szCs w:val="20"/>
                <w:lang w:eastAsia="en-GB"/>
              </w:rPr>
              <w:t>%</w:t>
            </w:r>
          </w:p>
        </w:tc>
      </w:tr>
      <w:tr w:rsidR="009217A8" w:rsidRPr="009640EE" w:rsidTr="00A11CD2">
        <w:trPr>
          <w:trHeight w:val="320"/>
        </w:trPr>
        <w:tc>
          <w:tcPr>
            <w:tcW w:w="75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D6D36" w:rsidRPr="009640EE" w:rsidRDefault="009217A8" w:rsidP="009640EE">
            <w:pPr>
              <w:spacing w:after="0" w:line="240" w:lineRule="auto"/>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GAP</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D36" w:rsidRPr="009640EE" w:rsidRDefault="007276FF" w:rsidP="00A11CD2">
            <w:pPr>
              <w:spacing w:after="0" w:line="240" w:lineRule="auto"/>
              <w:jc w:val="center"/>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4,068</w:t>
            </w:r>
          </w:p>
        </w:tc>
        <w:tc>
          <w:tcPr>
            <w:tcW w:w="41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D6D36" w:rsidRPr="009640EE" w:rsidRDefault="004D6D36" w:rsidP="00A11CD2">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8,019</w:t>
            </w:r>
          </w:p>
        </w:tc>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D6D36" w:rsidRPr="009640EE" w:rsidRDefault="004D6D36" w:rsidP="00A11CD2">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6.9%</w:t>
            </w:r>
          </w:p>
        </w:tc>
        <w:tc>
          <w:tcPr>
            <w:tcW w:w="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D36" w:rsidRPr="009640EE" w:rsidRDefault="00BF53FB" w:rsidP="00A11CD2">
            <w:pPr>
              <w:spacing w:after="0" w:line="240" w:lineRule="auto"/>
              <w:jc w:val="center"/>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3,811</w:t>
            </w:r>
          </w:p>
        </w:tc>
        <w:tc>
          <w:tcPr>
            <w:tcW w:w="41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D6D36" w:rsidRPr="009640EE" w:rsidRDefault="004D6D36" w:rsidP="00A11CD2">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8,572</w:t>
            </w:r>
          </w:p>
        </w:tc>
        <w:tc>
          <w:tcPr>
            <w:tcW w:w="41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D6D36" w:rsidRPr="009640EE" w:rsidRDefault="004D6D36" w:rsidP="00A11CD2">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0.7%</w:t>
            </w:r>
          </w:p>
        </w:tc>
        <w:tc>
          <w:tcPr>
            <w:tcW w:w="392"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4D6D36" w:rsidRPr="009640EE" w:rsidRDefault="004D6D36" w:rsidP="00A11CD2">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0.6%</w:t>
            </w:r>
          </w:p>
        </w:tc>
        <w:tc>
          <w:tcPr>
            <w:tcW w:w="4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6D36" w:rsidRPr="009640EE" w:rsidRDefault="00A11CD2" w:rsidP="00A11CD2">
            <w:pPr>
              <w:spacing w:after="0" w:line="240" w:lineRule="auto"/>
              <w:jc w:val="center"/>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3,295</w:t>
            </w:r>
          </w:p>
        </w:tc>
        <w:tc>
          <w:tcPr>
            <w:tcW w:w="41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D6D36" w:rsidRPr="009640EE" w:rsidRDefault="004D6D36" w:rsidP="00A11CD2">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6,1</w:t>
            </w:r>
            <w:r>
              <w:rPr>
                <w:rFonts w:ascii="Calibri" w:eastAsia="Times New Roman" w:hAnsi="Calibri" w:cs="Times New Roman"/>
                <w:b/>
                <w:bCs/>
                <w:sz w:val="20"/>
                <w:szCs w:val="20"/>
                <w:lang w:eastAsia="en-GB"/>
              </w:rPr>
              <w:t>62</w:t>
            </w:r>
          </w:p>
        </w:tc>
        <w:tc>
          <w:tcPr>
            <w:tcW w:w="3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D6D36" w:rsidRPr="009640EE" w:rsidRDefault="004D6D36" w:rsidP="00A11CD2">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3.</w:t>
            </w:r>
            <w:r>
              <w:rPr>
                <w:rFonts w:ascii="Calibri" w:eastAsia="Times New Roman" w:hAnsi="Calibri" w:cs="Times New Roman"/>
                <w:b/>
                <w:bCs/>
                <w:sz w:val="20"/>
                <w:szCs w:val="20"/>
                <w:lang w:eastAsia="en-GB"/>
              </w:rPr>
              <w:t>7</w:t>
            </w:r>
            <w:r w:rsidRPr="009640EE">
              <w:rPr>
                <w:rFonts w:ascii="Calibri" w:eastAsia="Times New Roman" w:hAnsi="Calibri" w:cs="Times New Roman"/>
                <w:b/>
                <w:bCs/>
                <w:sz w:val="20"/>
                <w:szCs w:val="20"/>
                <w:lang w:eastAsia="en-GB"/>
              </w:rPr>
              <w:t>%</w:t>
            </w:r>
          </w:p>
        </w:tc>
      </w:tr>
    </w:tbl>
    <w:p w:rsidR="00A11CD2" w:rsidRDefault="00A11CD2" w:rsidP="009640EE">
      <w:pPr>
        <w:spacing w:after="0" w:line="240" w:lineRule="auto"/>
        <w:rPr>
          <w:rFonts w:cstheme="minorHAnsi"/>
        </w:rPr>
      </w:pPr>
    </w:p>
    <w:p w:rsidR="009640EE" w:rsidRDefault="009640EE" w:rsidP="009640EE">
      <w:pPr>
        <w:spacing w:after="0" w:line="240" w:lineRule="auto"/>
        <w:rPr>
          <w:rFonts w:cstheme="minorHAnsi"/>
        </w:rPr>
      </w:pPr>
      <w:r w:rsidRPr="009640EE">
        <w:rPr>
          <w:rFonts w:cstheme="minorHAnsi"/>
        </w:rPr>
        <w:t>The achievement</w:t>
      </w:r>
      <w:r w:rsidR="00A11CD2">
        <w:rPr>
          <w:rFonts w:cstheme="minorHAnsi"/>
        </w:rPr>
        <w:t xml:space="preserve"> gap</w:t>
      </w:r>
      <w:r w:rsidRPr="009640EE">
        <w:rPr>
          <w:rFonts w:cstheme="minorHAnsi"/>
        </w:rPr>
        <w:t xml:space="preserve"> by all ethnic groups has widened to 3.</w:t>
      </w:r>
      <w:r w:rsidR="00276747">
        <w:rPr>
          <w:rFonts w:cstheme="minorHAnsi"/>
        </w:rPr>
        <w:t>7</w:t>
      </w:r>
      <w:r w:rsidRPr="009640EE">
        <w:rPr>
          <w:rFonts w:cstheme="minorHAnsi"/>
        </w:rPr>
        <w:t>% with other ethnic groups slightly underperforming against their white counterparts; the achievement for Black/African/Caribbean/ Black British and other ethnic groups are lower due to lower achievement in adult maths and English provision.</w:t>
      </w:r>
    </w:p>
    <w:p w:rsidR="009640EE" w:rsidRPr="009640EE" w:rsidRDefault="009640EE" w:rsidP="009640EE">
      <w:pPr>
        <w:spacing w:after="0" w:line="240" w:lineRule="auto"/>
        <w:rPr>
          <w:rFonts w:cstheme="minorHAnsi"/>
        </w:rPr>
      </w:pPr>
    </w:p>
    <w:p w:rsidR="009640EE" w:rsidRPr="009640EE" w:rsidRDefault="009640EE" w:rsidP="009640EE">
      <w:pPr>
        <w:spacing w:after="0" w:line="240" w:lineRule="auto"/>
        <w:rPr>
          <w:rFonts w:cstheme="minorHAnsi"/>
        </w:rPr>
      </w:pPr>
      <w:r w:rsidRPr="009640EE">
        <w:rPr>
          <w:rFonts w:cstheme="minorHAnsi"/>
        </w:rPr>
        <w:t>The proportion students who are Non-White Br</w:t>
      </w:r>
      <w:r w:rsidR="005307E4">
        <w:rPr>
          <w:rFonts w:cstheme="minorHAnsi"/>
        </w:rPr>
        <w:t>itish is small, accounting for 8.9</w:t>
      </w:r>
      <w:r w:rsidRPr="009640EE">
        <w:rPr>
          <w:rFonts w:cstheme="minorHAnsi"/>
        </w:rPr>
        <w:t xml:space="preserve">% of all </w:t>
      </w:r>
      <w:r w:rsidR="005307E4">
        <w:rPr>
          <w:rFonts w:cstheme="minorHAnsi"/>
        </w:rPr>
        <w:t>students</w:t>
      </w:r>
      <w:r w:rsidRPr="009640EE">
        <w:rPr>
          <w:rFonts w:cstheme="minorHAnsi"/>
        </w:rPr>
        <w:t>, this is the</w:t>
      </w:r>
      <w:r w:rsidR="005307E4">
        <w:rPr>
          <w:rFonts w:cstheme="minorHAnsi"/>
        </w:rPr>
        <w:t xml:space="preserve"> same as the </w:t>
      </w:r>
      <w:r w:rsidRPr="009640EE">
        <w:rPr>
          <w:rFonts w:cstheme="minorHAnsi"/>
        </w:rPr>
        <w:t xml:space="preserve"> previous year and broadly in line with the </w:t>
      </w:r>
      <w:r w:rsidR="005307E4">
        <w:rPr>
          <w:rFonts w:cstheme="minorHAnsi"/>
        </w:rPr>
        <w:t>demographics of the local area where 6% of the population are non-white British.</w:t>
      </w:r>
    </w:p>
    <w:p w:rsidR="009640EE" w:rsidRPr="009640EE" w:rsidRDefault="009640EE" w:rsidP="009640EE">
      <w:pPr>
        <w:spacing w:before="240" w:after="120" w:line="240" w:lineRule="auto"/>
        <w:rPr>
          <w:rFonts w:cstheme="minorHAnsi"/>
        </w:rPr>
      </w:pPr>
      <w:r w:rsidRPr="009640EE">
        <w:rPr>
          <w:rFonts w:cstheme="minorHAnsi"/>
          <w:b/>
        </w:rPr>
        <w:t xml:space="preserve">Disability/Learning Difficulty - Overall Classroom Achievement by Learning Difficulty and Disability </w:t>
      </w:r>
    </w:p>
    <w:tbl>
      <w:tblPr>
        <w:tblW w:w="1002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029"/>
        <w:gridCol w:w="916"/>
        <w:gridCol w:w="773"/>
        <w:gridCol w:w="1029"/>
        <w:gridCol w:w="916"/>
        <w:gridCol w:w="773"/>
        <w:gridCol w:w="1029"/>
        <w:gridCol w:w="916"/>
        <w:gridCol w:w="773"/>
        <w:gridCol w:w="985"/>
      </w:tblGrid>
      <w:tr w:rsidR="009217A8" w:rsidRPr="009640EE" w:rsidTr="009217A8">
        <w:trPr>
          <w:trHeight w:val="320"/>
        </w:trPr>
        <w:tc>
          <w:tcPr>
            <w:tcW w:w="882" w:type="dxa"/>
            <w:vMerge w:val="restart"/>
            <w:shd w:val="clear" w:color="auto" w:fill="C6D9F1" w:themeFill="text2" w:themeFillTint="33"/>
            <w:vAlign w:val="center"/>
            <w:hideMark/>
          </w:tcPr>
          <w:p w:rsidR="009217A8" w:rsidRPr="009640EE" w:rsidRDefault="009217A8" w:rsidP="009217A8">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Overall</w:t>
            </w:r>
          </w:p>
        </w:tc>
        <w:tc>
          <w:tcPr>
            <w:tcW w:w="2718" w:type="dxa"/>
            <w:gridSpan w:val="3"/>
            <w:shd w:val="clear" w:color="auto" w:fill="C6D9F1" w:themeFill="text2" w:themeFillTint="33"/>
          </w:tcPr>
          <w:p w:rsidR="009217A8" w:rsidRPr="009640EE" w:rsidRDefault="009217A8" w:rsidP="009640EE">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2015/16</w:t>
            </w:r>
          </w:p>
        </w:tc>
        <w:tc>
          <w:tcPr>
            <w:tcW w:w="2718" w:type="dxa"/>
            <w:gridSpan w:val="3"/>
            <w:shd w:val="clear" w:color="auto" w:fill="C6D9F1" w:themeFill="text2" w:themeFillTint="33"/>
          </w:tcPr>
          <w:p w:rsidR="009217A8" w:rsidRPr="009640EE" w:rsidRDefault="009217A8" w:rsidP="009640EE">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2016/17</w:t>
            </w:r>
          </w:p>
        </w:tc>
        <w:tc>
          <w:tcPr>
            <w:tcW w:w="2718" w:type="dxa"/>
            <w:gridSpan w:val="3"/>
            <w:shd w:val="clear" w:color="auto" w:fill="C6D9F1" w:themeFill="text2" w:themeFillTint="33"/>
          </w:tcPr>
          <w:p w:rsidR="009217A8" w:rsidRPr="009640EE" w:rsidRDefault="009217A8" w:rsidP="009640EE">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2017/18</w:t>
            </w:r>
          </w:p>
        </w:tc>
        <w:tc>
          <w:tcPr>
            <w:tcW w:w="985" w:type="dxa"/>
            <w:vMerge w:val="restart"/>
            <w:shd w:val="clear" w:color="000000" w:fill="D9D9D9"/>
            <w:vAlign w:val="center"/>
            <w:hideMark/>
          </w:tcPr>
          <w:p w:rsidR="009217A8" w:rsidRPr="009640EE" w:rsidRDefault="009217A8"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2016/17 PPA</w:t>
            </w:r>
          </w:p>
        </w:tc>
      </w:tr>
      <w:tr w:rsidR="009217A8" w:rsidRPr="009640EE" w:rsidTr="009217A8">
        <w:trPr>
          <w:trHeight w:val="320"/>
        </w:trPr>
        <w:tc>
          <w:tcPr>
            <w:tcW w:w="882" w:type="dxa"/>
            <w:vMerge/>
            <w:shd w:val="clear" w:color="auto" w:fill="C6D9F1" w:themeFill="text2" w:themeFillTint="33"/>
            <w:vAlign w:val="center"/>
            <w:hideMark/>
          </w:tcPr>
          <w:p w:rsidR="009217A8" w:rsidRPr="009640EE" w:rsidRDefault="009217A8" w:rsidP="009640EE">
            <w:pPr>
              <w:spacing w:after="0" w:line="240" w:lineRule="auto"/>
              <w:rPr>
                <w:rFonts w:ascii="Calibri" w:eastAsia="Times New Roman" w:hAnsi="Calibri" w:cs="Times New Roman"/>
                <w:b/>
                <w:bCs/>
                <w:color w:val="000000"/>
                <w:sz w:val="20"/>
                <w:szCs w:val="20"/>
                <w:lang w:eastAsia="en-GB"/>
              </w:rPr>
            </w:pPr>
          </w:p>
        </w:tc>
        <w:tc>
          <w:tcPr>
            <w:tcW w:w="1029" w:type="dxa"/>
            <w:shd w:val="clear" w:color="auto" w:fill="C6D9F1" w:themeFill="text2" w:themeFillTint="33"/>
            <w:vAlign w:val="center"/>
          </w:tcPr>
          <w:p w:rsidR="009217A8" w:rsidRPr="009640EE" w:rsidRDefault="009217A8" w:rsidP="009217A8">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Students</w:t>
            </w:r>
          </w:p>
        </w:tc>
        <w:tc>
          <w:tcPr>
            <w:tcW w:w="916" w:type="dxa"/>
            <w:shd w:val="clear" w:color="auto" w:fill="C6D9F1" w:themeFill="text2" w:themeFillTint="33"/>
            <w:vAlign w:val="center"/>
            <w:hideMark/>
          </w:tcPr>
          <w:p w:rsidR="009217A8" w:rsidRPr="009640EE" w:rsidRDefault="00B502DC" w:rsidP="009217A8">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Enrols</w:t>
            </w:r>
          </w:p>
        </w:tc>
        <w:tc>
          <w:tcPr>
            <w:tcW w:w="773" w:type="dxa"/>
            <w:shd w:val="clear" w:color="auto" w:fill="C6D9F1" w:themeFill="text2" w:themeFillTint="33"/>
            <w:vAlign w:val="center"/>
            <w:hideMark/>
          </w:tcPr>
          <w:p w:rsidR="009217A8" w:rsidRPr="009640EE" w:rsidRDefault="009217A8" w:rsidP="009217A8">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Ach</w:t>
            </w:r>
          </w:p>
        </w:tc>
        <w:tc>
          <w:tcPr>
            <w:tcW w:w="1029" w:type="dxa"/>
            <w:shd w:val="clear" w:color="auto" w:fill="C6D9F1" w:themeFill="text2" w:themeFillTint="33"/>
            <w:vAlign w:val="center"/>
          </w:tcPr>
          <w:p w:rsidR="009217A8" w:rsidRPr="009640EE" w:rsidRDefault="009217A8" w:rsidP="009217A8">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Students</w:t>
            </w:r>
          </w:p>
        </w:tc>
        <w:tc>
          <w:tcPr>
            <w:tcW w:w="916" w:type="dxa"/>
            <w:shd w:val="clear" w:color="auto" w:fill="C6D9F1" w:themeFill="text2" w:themeFillTint="33"/>
            <w:vAlign w:val="center"/>
            <w:hideMark/>
          </w:tcPr>
          <w:p w:rsidR="009217A8" w:rsidRPr="009640EE" w:rsidRDefault="00B502DC" w:rsidP="009217A8">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Enrols</w:t>
            </w:r>
          </w:p>
        </w:tc>
        <w:tc>
          <w:tcPr>
            <w:tcW w:w="773" w:type="dxa"/>
            <w:shd w:val="clear" w:color="auto" w:fill="C6D9F1" w:themeFill="text2" w:themeFillTint="33"/>
            <w:vAlign w:val="center"/>
            <w:hideMark/>
          </w:tcPr>
          <w:p w:rsidR="009217A8" w:rsidRPr="009640EE" w:rsidRDefault="009217A8" w:rsidP="009217A8">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Ach</w:t>
            </w:r>
          </w:p>
        </w:tc>
        <w:tc>
          <w:tcPr>
            <w:tcW w:w="1029" w:type="dxa"/>
            <w:shd w:val="clear" w:color="auto" w:fill="C6D9F1" w:themeFill="text2" w:themeFillTint="33"/>
            <w:vAlign w:val="center"/>
          </w:tcPr>
          <w:p w:rsidR="009217A8" w:rsidRPr="009640EE" w:rsidRDefault="009217A8" w:rsidP="009217A8">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Students</w:t>
            </w:r>
          </w:p>
        </w:tc>
        <w:tc>
          <w:tcPr>
            <w:tcW w:w="916" w:type="dxa"/>
            <w:shd w:val="clear" w:color="auto" w:fill="C6D9F1" w:themeFill="text2" w:themeFillTint="33"/>
            <w:vAlign w:val="center"/>
            <w:hideMark/>
          </w:tcPr>
          <w:p w:rsidR="009217A8" w:rsidRPr="009640EE" w:rsidRDefault="00B502DC" w:rsidP="009217A8">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Enrols</w:t>
            </w:r>
          </w:p>
        </w:tc>
        <w:tc>
          <w:tcPr>
            <w:tcW w:w="773" w:type="dxa"/>
            <w:shd w:val="clear" w:color="auto" w:fill="C6D9F1" w:themeFill="text2" w:themeFillTint="33"/>
            <w:vAlign w:val="center"/>
            <w:hideMark/>
          </w:tcPr>
          <w:p w:rsidR="009217A8" w:rsidRPr="009640EE" w:rsidRDefault="009217A8" w:rsidP="009217A8">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Ach</w:t>
            </w:r>
          </w:p>
        </w:tc>
        <w:tc>
          <w:tcPr>
            <w:tcW w:w="985" w:type="dxa"/>
            <w:vMerge/>
            <w:vAlign w:val="center"/>
            <w:hideMark/>
          </w:tcPr>
          <w:p w:rsidR="009217A8" w:rsidRPr="009640EE" w:rsidRDefault="009217A8" w:rsidP="009640EE">
            <w:pPr>
              <w:spacing w:after="0" w:line="240" w:lineRule="auto"/>
              <w:rPr>
                <w:rFonts w:ascii="Calibri" w:eastAsia="Times New Roman" w:hAnsi="Calibri" w:cs="Times New Roman"/>
                <w:b/>
                <w:bCs/>
                <w:color w:val="000000"/>
                <w:sz w:val="20"/>
                <w:szCs w:val="20"/>
                <w:lang w:eastAsia="en-GB"/>
              </w:rPr>
            </w:pPr>
          </w:p>
        </w:tc>
      </w:tr>
      <w:tr w:rsidR="009217A8" w:rsidRPr="009640EE" w:rsidTr="009217A8">
        <w:trPr>
          <w:trHeight w:val="320"/>
        </w:trPr>
        <w:tc>
          <w:tcPr>
            <w:tcW w:w="882" w:type="dxa"/>
            <w:shd w:val="clear" w:color="auto" w:fill="auto"/>
            <w:vAlign w:val="center"/>
            <w:hideMark/>
          </w:tcPr>
          <w:p w:rsidR="009217A8" w:rsidRPr="009640EE" w:rsidRDefault="009217A8" w:rsidP="009640EE">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No LLDD</w:t>
            </w:r>
          </w:p>
        </w:tc>
        <w:tc>
          <w:tcPr>
            <w:tcW w:w="1029" w:type="dxa"/>
            <w:vAlign w:val="center"/>
          </w:tcPr>
          <w:p w:rsidR="009217A8" w:rsidRPr="009640EE" w:rsidRDefault="007276FF" w:rsidP="009217A8">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3,524</w:t>
            </w:r>
          </w:p>
        </w:tc>
        <w:tc>
          <w:tcPr>
            <w:tcW w:w="916" w:type="dxa"/>
            <w:shd w:val="clear" w:color="auto" w:fill="auto"/>
            <w:vAlign w:val="center"/>
            <w:hideMark/>
          </w:tcPr>
          <w:p w:rsidR="009217A8" w:rsidRPr="009640EE" w:rsidRDefault="009217A8" w:rsidP="009217A8">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6,673</w:t>
            </w:r>
          </w:p>
        </w:tc>
        <w:tc>
          <w:tcPr>
            <w:tcW w:w="773" w:type="dxa"/>
            <w:shd w:val="clear" w:color="auto" w:fill="auto"/>
            <w:vAlign w:val="center"/>
            <w:hideMark/>
          </w:tcPr>
          <w:p w:rsidR="009217A8" w:rsidRPr="009640EE" w:rsidRDefault="009217A8" w:rsidP="009217A8">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84.0%</w:t>
            </w:r>
          </w:p>
        </w:tc>
        <w:tc>
          <w:tcPr>
            <w:tcW w:w="1029" w:type="dxa"/>
            <w:vAlign w:val="center"/>
          </w:tcPr>
          <w:p w:rsidR="009217A8" w:rsidRPr="009640EE" w:rsidRDefault="00BF53FB" w:rsidP="009217A8">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3,305</w:t>
            </w:r>
          </w:p>
        </w:tc>
        <w:tc>
          <w:tcPr>
            <w:tcW w:w="916" w:type="dxa"/>
            <w:shd w:val="clear" w:color="auto" w:fill="auto"/>
            <w:vAlign w:val="center"/>
            <w:hideMark/>
          </w:tcPr>
          <w:p w:rsidR="009217A8" w:rsidRPr="009640EE" w:rsidRDefault="009217A8" w:rsidP="009217A8">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7,061</w:t>
            </w:r>
          </w:p>
        </w:tc>
        <w:tc>
          <w:tcPr>
            <w:tcW w:w="773" w:type="dxa"/>
            <w:shd w:val="clear" w:color="auto" w:fill="auto"/>
            <w:vAlign w:val="center"/>
            <w:hideMark/>
          </w:tcPr>
          <w:p w:rsidR="009217A8" w:rsidRPr="009640EE" w:rsidRDefault="009217A8" w:rsidP="009217A8">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86.1%</w:t>
            </w:r>
          </w:p>
        </w:tc>
        <w:tc>
          <w:tcPr>
            <w:tcW w:w="1029" w:type="dxa"/>
            <w:vAlign w:val="center"/>
          </w:tcPr>
          <w:p w:rsidR="009217A8" w:rsidRPr="009640EE" w:rsidRDefault="00A11CD2" w:rsidP="009217A8">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2,792</w:t>
            </w:r>
          </w:p>
        </w:tc>
        <w:tc>
          <w:tcPr>
            <w:tcW w:w="916" w:type="dxa"/>
            <w:shd w:val="clear" w:color="auto" w:fill="auto"/>
            <w:vAlign w:val="center"/>
            <w:hideMark/>
          </w:tcPr>
          <w:p w:rsidR="009217A8" w:rsidRPr="009640EE" w:rsidRDefault="009217A8" w:rsidP="009217A8">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4,87</w:t>
            </w:r>
            <w:r>
              <w:rPr>
                <w:rFonts w:ascii="Calibri" w:eastAsia="Times New Roman" w:hAnsi="Calibri" w:cs="Times New Roman"/>
                <w:color w:val="000000"/>
                <w:sz w:val="20"/>
                <w:szCs w:val="20"/>
                <w:lang w:eastAsia="en-GB"/>
              </w:rPr>
              <w:t>8</w:t>
            </w:r>
          </w:p>
        </w:tc>
        <w:tc>
          <w:tcPr>
            <w:tcW w:w="773" w:type="dxa"/>
            <w:shd w:val="clear" w:color="auto" w:fill="auto"/>
            <w:vAlign w:val="center"/>
            <w:hideMark/>
          </w:tcPr>
          <w:p w:rsidR="009217A8" w:rsidRPr="009640EE" w:rsidRDefault="009217A8" w:rsidP="009217A8">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83.5%</w:t>
            </w:r>
          </w:p>
        </w:tc>
        <w:tc>
          <w:tcPr>
            <w:tcW w:w="985" w:type="dxa"/>
            <w:shd w:val="clear" w:color="000000" w:fill="D9D9D9"/>
            <w:vAlign w:val="center"/>
            <w:hideMark/>
          </w:tcPr>
          <w:p w:rsidR="009217A8" w:rsidRPr="009640EE" w:rsidRDefault="009217A8" w:rsidP="009217A8">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85.1%</w:t>
            </w:r>
          </w:p>
        </w:tc>
      </w:tr>
      <w:tr w:rsidR="009217A8" w:rsidRPr="009640EE" w:rsidTr="009217A8">
        <w:trPr>
          <w:trHeight w:val="320"/>
        </w:trPr>
        <w:tc>
          <w:tcPr>
            <w:tcW w:w="882" w:type="dxa"/>
            <w:shd w:val="clear" w:color="auto" w:fill="auto"/>
            <w:vAlign w:val="center"/>
            <w:hideMark/>
          </w:tcPr>
          <w:p w:rsidR="009217A8" w:rsidRPr="009640EE" w:rsidRDefault="009217A8" w:rsidP="009640EE">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Yes LLDD</w:t>
            </w:r>
          </w:p>
        </w:tc>
        <w:tc>
          <w:tcPr>
            <w:tcW w:w="1029" w:type="dxa"/>
            <w:vAlign w:val="center"/>
          </w:tcPr>
          <w:p w:rsidR="009217A8" w:rsidRPr="009640EE" w:rsidRDefault="007276FF" w:rsidP="009217A8">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962</w:t>
            </w:r>
          </w:p>
        </w:tc>
        <w:tc>
          <w:tcPr>
            <w:tcW w:w="916" w:type="dxa"/>
            <w:shd w:val="clear" w:color="auto" w:fill="auto"/>
            <w:vAlign w:val="center"/>
            <w:hideMark/>
          </w:tcPr>
          <w:p w:rsidR="009217A8" w:rsidRPr="009640EE" w:rsidRDefault="009217A8" w:rsidP="009217A8">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2,049</w:t>
            </w:r>
          </w:p>
        </w:tc>
        <w:tc>
          <w:tcPr>
            <w:tcW w:w="773" w:type="dxa"/>
            <w:shd w:val="clear" w:color="auto" w:fill="auto"/>
            <w:vAlign w:val="center"/>
            <w:hideMark/>
          </w:tcPr>
          <w:p w:rsidR="009217A8" w:rsidRPr="009640EE" w:rsidRDefault="009217A8" w:rsidP="009217A8">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80.6%</w:t>
            </w:r>
          </w:p>
        </w:tc>
        <w:tc>
          <w:tcPr>
            <w:tcW w:w="1029" w:type="dxa"/>
            <w:vAlign w:val="center"/>
          </w:tcPr>
          <w:p w:rsidR="009217A8" w:rsidRPr="009640EE" w:rsidRDefault="00BF53FB" w:rsidP="009217A8">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964</w:t>
            </w:r>
          </w:p>
        </w:tc>
        <w:tc>
          <w:tcPr>
            <w:tcW w:w="916" w:type="dxa"/>
            <w:shd w:val="clear" w:color="auto" w:fill="auto"/>
            <w:vAlign w:val="center"/>
            <w:hideMark/>
          </w:tcPr>
          <w:p w:rsidR="009217A8" w:rsidRPr="009640EE" w:rsidRDefault="009217A8" w:rsidP="009217A8">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2,304</w:t>
            </w:r>
          </w:p>
        </w:tc>
        <w:tc>
          <w:tcPr>
            <w:tcW w:w="773" w:type="dxa"/>
            <w:shd w:val="clear" w:color="auto" w:fill="auto"/>
            <w:vAlign w:val="center"/>
            <w:hideMark/>
          </w:tcPr>
          <w:p w:rsidR="009217A8" w:rsidRPr="009640EE" w:rsidRDefault="009217A8" w:rsidP="009217A8">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81.7%</w:t>
            </w:r>
          </w:p>
        </w:tc>
        <w:tc>
          <w:tcPr>
            <w:tcW w:w="1029" w:type="dxa"/>
            <w:vAlign w:val="center"/>
          </w:tcPr>
          <w:p w:rsidR="009217A8" w:rsidRPr="009640EE" w:rsidRDefault="00A11CD2" w:rsidP="009217A8">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918</w:t>
            </w:r>
          </w:p>
        </w:tc>
        <w:tc>
          <w:tcPr>
            <w:tcW w:w="916" w:type="dxa"/>
            <w:shd w:val="clear" w:color="auto" w:fill="auto"/>
            <w:vAlign w:val="center"/>
            <w:hideMark/>
          </w:tcPr>
          <w:p w:rsidR="009217A8" w:rsidRPr="009640EE" w:rsidRDefault="009217A8" w:rsidP="009217A8">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w:t>
            </w:r>
            <w:r>
              <w:rPr>
                <w:rFonts w:ascii="Calibri" w:eastAsia="Times New Roman" w:hAnsi="Calibri" w:cs="Times New Roman"/>
                <w:color w:val="000000"/>
                <w:sz w:val="20"/>
                <w:szCs w:val="20"/>
                <w:lang w:eastAsia="en-GB"/>
              </w:rPr>
              <w:t>903</w:t>
            </w:r>
          </w:p>
        </w:tc>
        <w:tc>
          <w:tcPr>
            <w:tcW w:w="773" w:type="dxa"/>
            <w:shd w:val="clear" w:color="auto" w:fill="auto"/>
            <w:vAlign w:val="center"/>
            <w:hideMark/>
          </w:tcPr>
          <w:p w:rsidR="009217A8" w:rsidRPr="009640EE" w:rsidRDefault="009217A8" w:rsidP="009217A8">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8</w:t>
            </w:r>
            <w:r>
              <w:rPr>
                <w:rFonts w:ascii="Calibri" w:eastAsia="Times New Roman" w:hAnsi="Calibri" w:cs="Times New Roman"/>
                <w:color w:val="000000"/>
                <w:sz w:val="20"/>
                <w:szCs w:val="20"/>
                <w:lang w:eastAsia="en-GB"/>
              </w:rPr>
              <w:t>0.9</w:t>
            </w:r>
            <w:r w:rsidRPr="009640EE">
              <w:rPr>
                <w:rFonts w:ascii="Calibri" w:eastAsia="Times New Roman" w:hAnsi="Calibri" w:cs="Times New Roman"/>
                <w:color w:val="000000"/>
                <w:sz w:val="20"/>
                <w:szCs w:val="20"/>
                <w:lang w:eastAsia="en-GB"/>
              </w:rPr>
              <w:t>%</w:t>
            </w:r>
          </w:p>
        </w:tc>
        <w:tc>
          <w:tcPr>
            <w:tcW w:w="985" w:type="dxa"/>
            <w:shd w:val="clear" w:color="000000" w:fill="D9D9D9"/>
            <w:vAlign w:val="center"/>
            <w:hideMark/>
          </w:tcPr>
          <w:p w:rsidR="009217A8" w:rsidRPr="009640EE" w:rsidRDefault="009217A8" w:rsidP="009217A8">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82.3%</w:t>
            </w:r>
          </w:p>
        </w:tc>
      </w:tr>
      <w:tr w:rsidR="009217A8" w:rsidRPr="009640EE" w:rsidTr="009217A8">
        <w:trPr>
          <w:trHeight w:val="320"/>
        </w:trPr>
        <w:tc>
          <w:tcPr>
            <w:tcW w:w="882" w:type="dxa"/>
            <w:shd w:val="clear" w:color="000000" w:fill="D9D9D9"/>
            <w:vAlign w:val="center"/>
            <w:hideMark/>
          </w:tcPr>
          <w:p w:rsidR="009217A8" w:rsidRPr="009640EE" w:rsidRDefault="009217A8" w:rsidP="009640EE">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GAP</w:t>
            </w:r>
          </w:p>
        </w:tc>
        <w:tc>
          <w:tcPr>
            <w:tcW w:w="1029" w:type="dxa"/>
            <w:shd w:val="clear" w:color="000000" w:fill="D9D9D9"/>
            <w:vAlign w:val="center"/>
          </w:tcPr>
          <w:p w:rsidR="009217A8" w:rsidRPr="009640EE" w:rsidRDefault="007276FF" w:rsidP="009217A8">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2,562</w:t>
            </w:r>
          </w:p>
        </w:tc>
        <w:tc>
          <w:tcPr>
            <w:tcW w:w="916" w:type="dxa"/>
            <w:shd w:val="clear" w:color="000000" w:fill="D9D9D9"/>
            <w:vAlign w:val="center"/>
            <w:hideMark/>
          </w:tcPr>
          <w:p w:rsidR="009217A8" w:rsidRPr="009640EE" w:rsidRDefault="009217A8" w:rsidP="009217A8">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4,624</w:t>
            </w:r>
          </w:p>
        </w:tc>
        <w:tc>
          <w:tcPr>
            <w:tcW w:w="773" w:type="dxa"/>
            <w:shd w:val="clear" w:color="000000" w:fill="D9D9D9"/>
            <w:vAlign w:val="center"/>
            <w:hideMark/>
          </w:tcPr>
          <w:p w:rsidR="009217A8" w:rsidRPr="009640EE" w:rsidRDefault="009217A8" w:rsidP="009217A8">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3.4%</w:t>
            </w:r>
          </w:p>
        </w:tc>
        <w:tc>
          <w:tcPr>
            <w:tcW w:w="1029" w:type="dxa"/>
            <w:shd w:val="clear" w:color="000000" w:fill="D9D9D9"/>
            <w:vAlign w:val="center"/>
          </w:tcPr>
          <w:p w:rsidR="009217A8" w:rsidRPr="009640EE" w:rsidRDefault="00BF53FB" w:rsidP="009217A8">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2,341</w:t>
            </w:r>
          </w:p>
        </w:tc>
        <w:tc>
          <w:tcPr>
            <w:tcW w:w="916" w:type="dxa"/>
            <w:shd w:val="clear" w:color="000000" w:fill="D9D9D9"/>
            <w:vAlign w:val="center"/>
            <w:hideMark/>
          </w:tcPr>
          <w:p w:rsidR="009217A8" w:rsidRPr="009640EE" w:rsidRDefault="009217A8" w:rsidP="009217A8">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4,757</w:t>
            </w:r>
          </w:p>
        </w:tc>
        <w:tc>
          <w:tcPr>
            <w:tcW w:w="773" w:type="dxa"/>
            <w:shd w:val="clear" w:color="000000" w:fill="D9D9D9"/>
            <w:vAlign w:val="center"/>
            <w:hideMark/>
          </w:tcPr>
          <w:p w:rsidR="009217A8" w:rsidRPr="009640EE" w:rsidRDefault="009217A8" w:rsidP="009217A8">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4.4%</w:t>
            </w:r>
          </w:p>
        </w:tc>
        <w:tc>
          <w:tcPr>
            <w:tcW w:w="1029" w:type="dxa"/>
            <w:shd w:val="clear" w:color="000000" w:fill="D9D9D9"/>
            <w:vAlign w:val="center"/>
          </w:tcPr>
          <w:p w:rsidR="009217A8" w:rsidRPr="009640EE" w:rsidRDefault="00A11CD2" w:rsidP="009217A8">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1,874</w:t>
            </w:r>
          </w:p>
        </w:tc>
        <w:tc>
          <w:tcPr>
            <w:tcW w:w="916" w:type="dxa"/>
            <w:shd w:val="clear" w:color="000000" w:fill="D9D9D9"/>
            <w:vAlign w:val="center"/>
            <w:hideMark/>
          </w:tcPr>
          <w:p w:rsidR="009217A8" w:rsidRPr="009640EE" w:rsidRDefault="009217A8" w:rsidP="009217A8">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2,97</w:t>
            </w:r>
            <w:r>
              <w:rPr>
                <w:rFonts w:ascii="Calibri" w:eastAsia="Times New Roman" w:hAnsi="Calibri" w:cs="Times New Roman"/>
                <w:b/>
                <w:bCs/>
                <w:color w:val="000000"/>
                <w:sz w:val="20"/>
                <w:szCs w:val="20"/>
                <w:lang w:eastAsia="en-GB"/>
              </w:rPr>
              <w:t>5</w:t>
            </w:r>
          </w:p>
        </w:tc>
        <w:tc>
          <w:tcPr>
            <w:tcW w:w="773" w:type="dxa"/>
            <w:shd w:val="clear" w:color="000000" w:fill="D9D9D9"/>
            <w:vAlign w:val="center"/>
            <w:hideMark/>
          </w:tcPr>
          <w:p w:rsidR="009217A8" w:rsidRPr="009640EE" w:rsidRDefault="009217A8" w:rsidP="009217A8">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2.</w:t>
            </w:r>
            <w:r>
              <w:rPr>
                <w:rFonts w:ascii="Calibri" w:eastAsia="Times New Roman" w:hAnsi="Calibri" w:cs="Times New Roman"/>
                <w:b/>
                <w:bCs/>
                <w:color w:val="000000"/>
                <w:sz w:val="20"/>
                <w:szCs w:val="20"/>
                <w:lang w:eastAsia="en-GB"/>
              </w:rPr>
              <w:t>6</w:t>
            </w:r>
            <w:r w:rsidRPr="009640EE">
              <w:rPr>
                <w:rFonts w:ascii="Calibri" w:eastAsia="Times New Roman" w:hAnsi="Calibri" w:cs="Times New Roman"/>
                <w:b/>
                <w:bCs/>
                <w:color w:val="000000"/>
                <w:sz w:val="20"/>
                <w:szCs w:val="20"/>
                <w:lang w:eastAsia="en-GB"/>
              </w:rPr>
              <w:t>%</w:t>
            </w:r>
          </w:p>
        </w:tc>
        <w:tc>
          <w:tcPr>
            <w:tcW w:w="985" w:type="dxa"/>
            <w:shd w:val="clear" w:color="000000" w:fill="D9D9D9"/>
            <w:vAlign w:val="center"/>
            <w:hideMark/>
          </w:tcPr>
          <w:p w:rsidR="009217A8" w:rsidRPr="009640EE" w:rsidRDefault="009217A8" w:rsidP="009217A8">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2.8%</w:t>
            </w:r>
          </w:p>
        </w:tc>
      </w:tr>
    </w:tbl>
    <w:p w:rsidR="009640EE" w:rsidRDefault="009640EE" w:rsidP="009640EE">
      <w:pPr>
        <w:spacing w:after="0" w:line="240" w:lineRule="auto"/>
        <w:rPr>
          <w:rFonts w:cstheme="minorHAnsi"/>
        </w:rPr>
      </w:pPr>
    </w:p>
    <w:p w:rsidR="009640EE" w:rsidRPr="009640EE" w:rsidRDefault="009640EE" w:rsidP="009640EE">
      <w:pPr>
        <w:spacing w:after="0" w:line="240" w:lineRule="auto"/>
        <w:rPr>
          <w:rFonts w:cstheme="minorHAnsi"/>
        </w:rPr>
      </w:pPr>
      <w:r w:rsidRPr="009640EE">
        <w:rPr>
          <w:rFonts w:cstheme="minorHAnsi"/>
        </w:rPr>
        <w:t>The achievement gap for students with a self-declared learning difficulty or disability/health problem has reduced from 4.4% in 2016/17 to 2.</w:t>
      </w:r>
      <w:r w:rsidR="00B63341">
        <w:rPr>
          <w:rFonts w:cstheme="minorHAnsi"/>
        </w:rPr>
        <w:t>6</w:t>
      </w:r>
      <w:r w:rsidRPr="009640EE">
        <w:rPr>
          <w:rFonts w:cstheme="minorHAnsi"/>
        </w:rPr>
        <w:t>% in 201</w:t>
      </w:r>
      <w:r w:rsidR="00B63341">
        <w:rPr>
          <w:rFonts w:cstheme="minorHAnsi"/>
        </w:rPr>
        <w:t>7/18</w:t>
      </w:r>
      <w:r w:rsidRPr="009640EE">
        <w:rPr>
          <w:rFonts w:cstheme="minorHAnsi"/>
        </w:rPr>
        <w:t xml:space="preserve"> and is slightly less than the national achievement gap of 2.8%.  </w:t>
      </w:r>
    </w:p>
    <w:p w:rsidR="009640EE" w:rsidRPr="009640EE" w:rsidRDefault="009640EE" w:rsidP="009640EE">
      <w:pPr>
        <w:spacing w:after="0" w:line="240" w:lineRule="auto"/>
        <w:rPr>
          <w:rFonts w:cstheme="minorHAnsi"/>
        </w:rPr>
      </w:pPr>
    </w:p>
    <w:p w:rsidR="009640EE" w:rsidRDefault="009640EE" w:rsidP="009640EE">
      <w:pPr>
        <w:spacing w:after="0" w:line="240" w:lineRule="auto"/>
        <w:rPr>
          <w:rFonts w:cstheme="minorHAnsi"/>
        </w:rPr>
      </w:pPr>
      <w:r w:rsidRPr="009640EE">
        <w:rPr>
          <w:rFonts w:cstheme="minorHAnsi"/>
        </w:rPr>
        <w:t>Mental health issues are recognised nationally as a concern and we continue to see growing numbers declaring mental health difficulties.  Achievement rates for those who declared mental health issues were particularly low in 2015/16 70.1% and as a result support for students was increased, a range of internal and external support mechanisms have been provided to those students requiring support we have seen significant improvements in achievement for this group over the last 3 years, with achievement now at 8</w:t>
      </w:r>
      <w:r w:rsidR="00383062">
        <w:rPr>
          <w:rFonts w:cstheme="minorHAnsi"/>
        </w:rPr>
        <w:t>1.7</w:t>
      </w:r>
      <w:r w:rsidRPr="009640EE">
        <w:rPr>
          <w:rFonts w:cstheme="minorHAnsi"/>
        </w:rPr>
        <w:t xml:space="preserve">%.  </w:t>
      </w:r>
    </w:p>
    <w:p w:rsidR="00B82AF7" w:rsidRPr="00960973" w:rsidRDefault="00B82AF7" w:rsidP="009640EE">
      <w:pPr>
        <w:spacing w:after="0" w:line="240" w:lineRule="auto"/>
        <w:rPr>
          <w:rFonts w:cstheme="minorHAnsi"/>
        </w:rPr>
      </w:pPr>
    </w:p>
    <w:tbl>
      <w:tblPr>
        <w:tblW w:w="5423" w:type="pct"/>
        <w:tblLayout w:type="fixed"/>
        <w:tblLook w:val="04A0" w:firstRow="1" w:lastRow="0" w:firstColumn="1" w:lastColumn="0" w:noHBand="0" w:noVBand="1"/>
      </w:tblPr>
      <w:tblGrid>
        <w:gridCol w:w="2317"/>
        <w:gridCol w:w="830"/>
        <w:gridCol w:w="829"/>
        <w:gridCol w:w="829"/>
        <w:gridCol w:w="829"/>
        <w:gridCol w:w="829"/>
        <w:gridCol w:w="829"/>
        <w:gridCol w:w="829"/>
        <w:gridCol w:w="829"/>
        <w:gridCol w:w="829"/>
      </w:tblGrid>
      <w:tr w:rsidR="009217A8" w:rsidRPr="009640EE" w:rsidTr="009217A8">
        <w:trPr>
          <w:trHeight w:val="315"/>
        </w:trPr>
        <w:tc>
          <w:tcPr>
            <w:tcW w:w="1184" w:type="pct"/>
            <w:vMerge w:val="restart"/>
            <w:tcBorders>
              <w:top w:val="single" w:sz="4" w:space="0" w:color="auto"/>
              <w:left w:val="single" w:sz="4" w:space="0" w:color="auto"/>
              <w:right w:val="nil"/>
            </w:tcBorders>
            <w:shd w:val="clear" w:color="auto" w:fill="C6D9F1" w:themeFill="text2" w:themeFillTint="33"/>
            <w:noWrap/>
            <w:vAlign w:val="bottom"/>
            <w:hideMark/>
          </w:tcPr>
          <w:p w:rsidR="009217A8" w:rsidRPr="009640EE" w:rsidRDefault="009217A8" w:rsidP="009640EE">
            <w:pPr>
              <w:spacing w:after="0" w:line="240" w:lineRule="auto"/>
              <w:rPr>
                <w:rFonts w:ascii="Calibri" w:eastAsia="Times New Roman" w:hAnsi="Calibri" w:cs="Times New Roman"/>
                <w:b/>
                <w:color w:val="000000"/>
                <w:sz w:val="20"/>
                <w:lang w:eastAsia="en-GB"/>
              </w:rPr>
            </w:pPr>
          </w:p>
        </w:tc>
        <w:tc>
          <w:tcPr>
            <w:tcW w:w="1272"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rsidR="009217A8" w:rsidRPr="009640EE" w:rsidRDefault="009217A8" w:rsidP="009640EE">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2015/16</w:t>
            </w:r>
          </w:p>
        </w:tc>
        <w:tc>
          <w:tcPr>
            <w:tcW w:w="1272"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rsidR="009217A8" w:rsidRPr="009640EE" w:rsidRDefault="009217A8" w:rsidP="009640EE">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2016/17</w:t>
            </w:r>
          </w:p>
        </w:tc>
        <w:tc>
          <w:tcPr>
            <w:tcW w:w="1272"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rsidR="009217A8" w:rsidRPr="009640EE" w:rsidRDefault="009217A8" w:rsidP="009640EE">
            <w:pPr>
              <w:spacing w:after="0" w:line="240" w:lineRule="auto"/>
              <w:jc w:val="center"/>
              <w:rPr>
                <w:rFonts w:ascii="Calibri" w:eastAsia="Times New Roman" w:hAnsi="Calibri" w:cs="Times New Roman"/>
                <w:b/>
                <w:color w:val="000000"/>
                <w:sz w:val="20"/>
                <w:lang w:eastAsia="en-GB"/>
              </w:rPr>
            </w:pPr>
            <w:r>
              <w:rPr>
                <w:rFonts w:ascii="Calibri" w:eastAsia="Times New Roman" w:hAnsi="Calibri" w:cs="Times New Roman"/>
                <w:b/>
                <w:color w:val="000000"/>
                <w:sz w:val="20"/>
                <w:lang w:eastAsia="en-GB"/>
              </w:rPr>
              <w:t>2017/18</w:t>
            </w:r>
          </w:p>
        </w:tc>
      </w:tr>
      <w:tr w:rsidR="009217A8" w:rsidRPr="009640EE" w:rsidTr="009C5094">
        <w:trPr>
          <w:trHeight w:val="315"/>
        </w:trPr>
        <w:tc>
          <w:tcPr>
            <w:tcW w:w="1184" w:type="pct"/>
            <w:vMerge/>
            <w:tcBorders>
              <w:left w:val="single" w:sz="4" w:space="0" w:color="auto"/>
              <w:bottom w:val="single" w:sz="4" w:space="0" w:color="auto"/>
              <w:right w:val="nil"/>
            </w:tcBorders>
            <w:shd w:val="clear" w:color="auto" w:fill="C6D9F1" w:themeFill="text2" w:themeFillTint="33"/>
            <w:noWrap/>
            <w:vAlign w:val="bottom"/>
            <w:hideMark/>
          </w:tcPr>
          <w:p w:rsidR="009217A8" w:rsidRPr="009640EE" w:rsidRDefault="009217A8" w:rsidP="009640EE">
            <w:pPr>
              <w:spacing w:after="0" w:line="240" w:lineRule="auto"/>
              <w:rPr>
                <w:rFonts w:ascii="Calibri" w:eastAsia="Times New Roman" w:hAnsi="Calibri" w:cs="Times New Roman"/>
                <w:b/>
                <w:color w:val="000000"/>
                <w:sz w:val="20"/>
                <w:lang w:eastAsia="en-GB"/>
              </w:rPr>
            </w:pPr>
          </w:p>
        </w:tc>
        <w:tc>
          <w:tcPr>
            <w:tcW w:w="42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9217A8" w:rsidRPr="00DA0248" w:rsidRDefault="009217A8" w:rsidP="009640EE">
            <w:pPr>
              <w:spacing w:after="0" w:line="240" w:lineRule="auto"/>
              <w:jc w:val="center"/>
              <w:rPr>
                <w:rFonts w:ascii="Calibri" w:eastAsia="Times New Roman" w:hAnsi="Calibri" w:cs="Times New Roman"/>
                <w:b/>
                <w:bCs/>
                <w:color w:val="000000"/>
                <w:sz w:val="16"/>
                <w:szCs w:val="20"/>
                <w:lang w:eastAsia="en-GB"/>
              </w:rPr>
            </w:pPr>
            <w:r w:rsidRPr="00DA0248">
              <w:rPr>
                <w:rFonts w:ascii="Calibri" w:eastAsia="Times New Roman" w:hAnsi="Calibri" w:cs="Times New Roman"/>
                <w:b/>
                <w:bCs/>
                <w:color w:val="000000"/>
                <w:sz w:val="16"/>
                <w:szCs w:val="20"/>
                <w:lang w:eastAsia="en-GB"/>
              </w:rPr>
              <w:t>Students</w:t>
            </w:r>
          </w:p>
        </w:tc>
        <w:tc>
          <w:tcPr>
            <w:tcW w:w="424"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9217A8" w:rsidRPr="00DA0248" w:rsidRDefault="00B502DC" w:rsidP="009640EE">
            <w:pPr>
              <w:spacing w:after="0" w:line="240" w:lineRule="auto"/>
              <w:jc w:val="center"/>
              <w:rPr>
                <w:rFonts w:ascii="Calibri" w:eastAsia="Times New Roman" w:hAnsi="Calibri" w:cs="Times New Roman"/>
                <w:b/>
                <w:bCs/>
                <w:color w:val="000000"/>
                <w:sz w:val="16"/>
                <w:szCs w:val="20"/>
                <w:lang w:eastAsia="en-GB"/>
              </w:rPr>
            </w:pPr>
            <w:r w:rsidRPr="00DA0248">
              <w:rPr>
                <w:rFonts w:ascii="Calibri" w:eastAsia="Times New Roman" w:hAnsi="Calibri" w:cs="Times New Roman"/>
                <w:b/>
                <w:bCs/>
                <w:color w:val="000000"/>
                <w:sz w:val="16"/>
                <w:szCs w:val="20"/>
                <w:lang w:eastAsia="en-GB"/>
              </w:rPr>
              <w:t>Enrols</w:t>
            </w:r>
          </w:p>
        </w:tc>
        <w:tc>
          <w:tcPr>
            <w:tcW w:w="424"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9217A8" w:rsidRPr="00DA0248" w:rsidRDefault="009217A8" w:rsidP="009640EE">
            <w:pPr>
              <w:spacing w:after="0" w:line="240" w:lineRule="auto"/>
              <w:jc w:val="center"/>
              <w:rPr>
                <w:rFonts w:ascii="Calibri" w:eastAsia="Times New Roman" w:hAnsi="Calibri" w:cs="Times New Roman"/>
                <w:b/>
                <w:bCs/>
                <w:color w:val="000000"/>
                <w:sz w:val="16"/>
                <w:szCs w:val="20"/>
                <w:lang w:eastAsia="en-GB"/>
              </w:rPr>
            </w:pPr>
            <w:r w:rsidRPr="00DA0248">
              <w:rPr>
                <w:rFonts w:ascii="Calibri" w:eastAsia="Times New Roman" w:hAnsi="Calibri" w:cs="Times New Roman"/>
                <w:b/>
                <w:bCs/>
                <w:color w:val="000000"/>
                <w:sz w:val="16"/>
                <w:szCs w:val="20"/>
                <w:lang w:eastAsia="en-GB"/>
              </w:rPr>
              <w:t>Ach</w:t>
            </w:r>
          </w:p>
        </w:tc>
        <w:tc>
          <w:tcPr>
            <w:tcW w:w="42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9217A8" w:rsidRPr="00DA0248" w:rsidRDefault="009217A8" w:rsidP="009640EE">
            <w:pPr>
              <w:spacing w:after="0" w:line="240" w:lineRule="auto"/>
              <w:jc w:val="center"/>
              <w:rPr>
                <w:rFonts w:ascii="Calibri" w:eastAsia="Times New Roman" w:hAnsi="Calibri" w:cs="Times New Roman"/>
                <w:b/>
                <w:bCs/>
                <w:color w:val="000000"/>
                <w:sz w:val="16"/>
                <w:szCs w:val="20"/>
                <w:lang w:eastAsia="en-GB"/>
              </w:rPr>
            </w:pPr>
            <w:r w:rsidRPr="00DA0248">
              <w:rPr>
                <w:rFonts w:ascii="Calibri" w:eastAsia="Times New Roman" w:hAnsi="Calibri" w:cs="Times New Roman"/>
                <w:b/>
                <w:bCs/>
                <w:color w:val="000000"/>
                <w:sz w:val="16"/>
                <w:szCs w:val="20"/>
                <w:lang w:eastAsia="en-GB"/>
              </w:rPr>
              <w:t>Students</w:t>
            </w:r>
          </w:p>
        </w:tc>
        <w:tc>
          <w:tcPr>
            <w:tcW w:w="424"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9217A8" w:rsidRPr="00DA0248" w:rsidRDefault="00B502DC" w:rsidP="009640EE">
            <w:pPr>
              <w:spacing w:after="0" w:line="240" w:lineRule="auto"/>
              <w:jc w:val="center"/>
              <w:rPr>
                <w:rFonts w:ascii="Calibri" w:eastAsia="Times New Roman" w:hAnsi="Calibri" w:cs="Times New Roman"/>
                <w:b/>
                <w:bCs/>
                <w:color w:val="000000"/>
                <w:sz w:val="16"/>
                <w:szCs w:val="20"/>
                <w:lang w:eastAsia="en-GB"/>
              </w:rPr>
            </w:pPr>
            <w:r w:rsidRPr="00DA0248">
              <w:rPr>
                <w:rFonts w:ascii="Calibri" w:eastAsia="Times New Roman" w:hAnsi="Calibri" w:cs="Times New Roman"/>
                <w:b/>
                <w:bCs/>
                <w:color w:val="000000"/>
                <w:sz w:val="16"/>
                <w:szCs w:val="20"/>
                <w:lang w:eastAsia="en-GB"/>
              </w:rPr>
              <w:t>Enrols</w:t>
            </w:r>
          </w:p>
        </w:tc>
        <w:tc>
          <w:tcPr>
            <w:tcW w:w="424"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9217A8" w:rsidRPr="00DA0248" w:rsidRDefault="009217A8" w:rsidP="009640EE">
            <w:pPr>
              <w:spacing w:after="0" w:line="240" w:lineRule="auto"/>
              <w:jc w:val="center"/>
              <w:rPr>
                <w:rFonts w:ascii="Calibri" w:eastAsia="Times New Roman" w:hAnsi="Calibri" w:cs="Times New Roman"/>
                <w:b/>
                <w:bCs/>
                <w:color w:val="000000"/>
                <w:sz w:val="16"/>
                <w:szCs w:val="20"/>
                <w:lang w:eastAsia="en-GB"/>
              </w:rPr>
            </w:pPr>
            <w:r w:rsidRPr="00DA0248">
              <w:rPr>
                <w:rFonts w:ascii="Calibri" w:eastAsia="Times New Roman" w:hAnsi="Calibri" w:cs="Times New Roman"/>
                <w:b/>
                <w:bCs/>
                <w:color w:val="000000"/>
                <w:sz w:val="16"/>
                <w:szCs w:val="20"/>
                <w:lang w:eastAsia="en-GB"/>
              </w:rPr>
              <w:t>Ach</w:t>
            </w:r>
          </w:p>
        </w:tc>
        <w:tc>
          <w:tcPr>
            <w:tcW w:w="42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9217A8" w:rsidRPr="00DA0248" w:rsidRDefault="009217A8" w:rsidP="009640EE">
            <w:pPr>
              <w:spacing w:after="0" w:line="240" w:lineRule="auto"/>
              <w:jc w:val="center"/>
              <w:rPr>
                <w:rFonts w:ascii="Calibri" w:eastAsia="Times New Roman" w:hAnsi="Calibri" w:cs="Times New Roman"/>
                <w:b/>
                <w:bCs/>
                <w:color w:val="000000"/>
                <w:sz w:val="16"/>
                <w:szCs w:val="20"/>
                <w:lang w:eastAsia="en-GB"/>
              </w:rPr>
            </w:pPr>
            <w:r w:rsidRPr="00DA0248">
              <w:rPr>
                <w:rFonts w:ascii="Calibri" w:eastAsia="Times New Roman" w:hAnsi="Calibri" w:cs="Times New Roman"/>
                <w:b/>
                <w:bCs/>
                <w:color w:val="000000"/>
                <w:sz w:val="16"/>
                <w:szCs w:val="20"/>
                <w:lang w:eastAsia="en-GB"/>
              </w:rPr>
              <w:t>Students</w:t>
            </w:r>
          </w:p>
        </w:tc>
        <w:tc>
          <w:tcPr>
            <w:tcW w:w="424"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9217A8" w:rsidRPr="00DA0248" w:rsidRDefault="00B502DC" w:rsidP="009640EE">
            <w:pPr>
              <w:spacing w:after="0" w:line="240" w:lineRule="auto"/>
              <w:jc w:val="center"/>
              <w:rPr>
                <w:rFonts w:ascii="Calibri" w:eastAsia="Times New Roman" w:hAnsi="Calibri" w:cs="Times New Roman"/>
                <w:b/>
                <w:bCs/>
                <w:color w:val="000000"/>
                <w:sz w:val="16"/>
                <w:szCs w:val="20"/>
                <w:lang w:eastAsia="en-GB"/>
              </w:rPr>
            </w:pPr>
            <w:r w:rsidRPr="00DA0248">
              <w:rPr>
                <w:rFonts w:ascii="Calibri" w:eastAsia="Times New Roman" w:hAnsi="Calibri" w:cs="Times New Roman"/>
                <w:b/>
                <w:bCs/>
                <w:color w:val="000000"/>
                <w:sz w:val="16"/>
                <w:szCs w:val="20"/>
                <w:lang w:eastAsia="en-GB"/>
              </w:rPr>
              <w:t>Enrols</w:t>
            </w:r>
          </w:p>
        </w:tc>
        <w:tc>
          <w:tcPr>
            <w:tcW w:w="424"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9217A8" w:rsidRPr="00DA0248" w:rsidRDefault="009217A8" w:rsidP="009640EE">
            <w:pPr>
              <w:spacing w:after="0" w:line="240" w:lineRule="auto"/>
              <w:jc w:val="center"/>
              <w:rPr>
                <w:rFonts w:ascii="Calibri" w:eastAsia="Times New Roman" w:hAnsi="Calibri" w:cs="Times New Roman"/>
                <w:b/>
                <w:bCs/>
                <w:color w:val="000000"/>
                <w:sz w:val="16"/>
                <w:szCs w:val="20"/>
                <w:lang w:eastAsia="en-GB"/>
              </w:rPr>
            </w:pPr>
            <w:r w:rsidRPr="00DA0248">
              <w:rPr>
                <w:rFonts w:ascii="Calibri" w:eastAsia="Times New Roman" w:hAnsi="Calibri" w:cs="Times New Roman"/>
                <w:b/>
                <w:bCs/>
                <w:color w:val="000000"/>
                <w:sz w:val="16"/>
                <w:szCs w:val="20"/>
                <w:lang w:eastAsia="en-GB"/>
              </w:rPr>
              <w:t>Ach</w:t>
            </w:r>
          </w:p>
        </w:tc>
      </w:tr>
      <w:tr w:rsidR="009217A8" w:rsidRPr="009640EE" w:rsidTr="00A11CD2">
        <w:trPr>
          <w:trHeight w:val="315"/>
        </w:trPr>
        <w:tc>
          <w:tcPr>
            <w:tcW w:w="1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9640EE">
            <w:pPr>
              <w:spacing w:after="0" w:line="240" w:lineRule="auto"/>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Asperger's Syndrome</w:t>
            </w:r>
          </w:p>
        </w:tc>
        <w:tc>
          <w:tcPr>
            <w:tcW w:w="424" w:type="pct"/>
            <w:tcBorders>
              <w:top w:val="single" w:sz="4" w:space="0" w:color="auto"/>
              <w:left w:val="nil"/>
              <w:bottom w:val="single" w:sz="4" w:space="0" w:color="auto"/>
              <w:right w:val="single" w:sz="4" w:space="0" w:color="auto"/>
            </w:tcBorders>
            <w:vAlign w:val="center"/>
          </w:tcPr>
          <w:p w:rsidR="009217A8" w:rsidRPr="009640EE" w:rsidRDefault="007276FF"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26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51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84.3%</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B6515B"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22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49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81.6%</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A11CD2"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23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69.6%</w:t>
            </w:r>
          </w:p>
        </w:tc>
      </w:tr>
      <w:tr w:rsidR="009217A8" w:rsidRPr="009640EE" w:rsidTr="00A11CD2">
        <w:trPr>
          <w:trHeight w:val="315"/>
        </w:trPr>
        <w:tc>
          <w:tcPr>
            <w:tcW w:w="1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9640EE">
            <w:pPr>
              <w:spacing w:after="0" w:line="240" w:lineRule="auto"/>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Autism Spectrum Disorder</w:t>
            </w:r>
          </w:p>
        </w:tc>
        <w:tc>
          <w:tcPr>
            <w:tcW w:w="424" w:type="pct"/>
            <w:tcBorders>
              <w:top w:val="single" w:sz="4" w:space="0" w:color="auto"/>
              <w:left w:val="nil"/>
              <w:bottom w:val="single" w:sz="4" w:space="0" w:color="auto"/>
              <w:right w:val="single" w:sz="4" w:space="0" w:color="auto"/>
            </w:tcBorders>
            <w:vAlign w:val="center"/>
          </w:tcPr>
          <w:p w:rsidR="009217A8" w:rsidRPr="009640EE" w:rsidRDefault="007276FF"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61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160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80.6%</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B6515B"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68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184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82.1%</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A11CD2"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75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155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85.2%</w:t>
            </w:r>
          </w:p>
        </w:tc>
      </w:tr>
      <w:tr w:rsidR="009217A8" w:rsidRPr="009640EE" w:rsidTr="00A11CD2">
        <w:trPr>
          <w:trHeight w:val="315"/>
        </w:trPr>
        <w:tc>
          <w:tcPr>
            <w:tcW w:w="1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9640EE">
            <w:pPr>
              <w:spacing w:after="0" w:line="240" w:lineRule="auto"/>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Disability Affecting Mobility</w:t>
            </w:r>
          </w:p>
        </w:tc>
        <w:tc>
          <w:tcPr>
            <w:tcW w:w="424" w:type="pct"/>
            <w:tcBorders>
              <w:top w:val="single" w:sz="4" w:space="0" w:color="auto"/>
              <w:left w:val="nil"/>
              <w:bottom w:val="single" w:sz="4" w:space="0" w:color="auto"/>
              <w:right w:val="single" w:sz="4" w:space="0" w:color="auto"/>
            </w:tcBorders>
            <w:vAlign w:val="center"/>
          </w:tcPr>
          <w:p w:rsidR="009217A8" w:rsidRPr="009640EE" w:rsidRDefault="007276FF"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24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45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60.0%</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B6515B"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17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27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81.5%</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A11CD2"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24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36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88.9%</w:t>
            </w:r>
          </w:p>
        </w:tc>
      </w:tr>
      <w:tr w:rsidR="009217A8" w:rsidRPr="009640EE" w:rsidTr="00A11CD2">
        <w:trPr>
          <w:trHeight w:val="315"/>
        </w:trPr>
        <w:tc>
          <w:tcPr>
            <w:tcW w:w="1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9640EE">
            <w:pPr>
              <w:spacing w:after="0" w:line="240" w:lineRule="auto"/>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Dyscalculia</w:t>
            </w:r>
          </w:p>
        </w:tc>
        <w:tc>
          <w:tcPr>
            <w:tcW w:w="424" w:type="pct"/>
            <w:tcBorders>
              <w:top w:val="single" w:sz="4" w:space="0" w:color="auto"/>
              <w:left w:val="nil"/>
              <w:bottom w:val="single" w:sz="4" w:space="0" w:color="auto"/>
              <w:right w:val="single" w:sz="4" w:space="0" w:color="auto"/>
            </w:tcBorders>
            <w:vAlign w:val="center"/>
          </w:tcPr>
          <w:p w:rsidR="009217A8" w:rsidRPr="009640EE" w:rsidRDefault="007276FF"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11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22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68.2%</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B6515B"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12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25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88.0%</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A11CD2"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14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78.6%</w:t>
            </w:r>
          </w:p>
        </w:tc>
      </w:tr>
      <w:tr w:rsidR="009217A8" w:rsidRPr="009640EE" w:rsidTr="00A11CD2">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9640EE">
            <w:pPr>
              <w:spacing w:after="0" w:line="240" w:lineRule="auto"/>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Dyslexia</w:t>
            </w:r>
          </w:p>
        </w:tc>
        <w:tc>
          <w:tcPr>
            <w:tcW w:w="424" w:type="pct"/>
            <w:tcBorders>
              <w:top w:val="single" w:sz="4" w:space="0" w:color="auto"/>
              <w:left w:val="nil"/>
              <w:bottom w:val="single" w:sz="4" w:space="0" w:color="auto"/>
              <w:right w:val="single" w:sz="4" w:space="0" w:color="auto"/>
            </w:tcBorders>
            <w:vAlign w:val="center"/>
          </w:tcPr>
          <w:p w:rsidR="009217A8" w:rsidRPr="009640EE" w:rsidRDefault="007276FF"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287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593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84.8%</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B6515B"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275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686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80.6%</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A11CD2"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225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512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79.9%</w:t>
            </w:r>
          </w:p>
        </w:tc>
      </w:tr>
      <w:tr w:rsidR="009217A8" w:rsidRPr="009640EE" w:rsidTr="00A11CD2">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9640EE">
            <w:pPr>
              <w:spacing w:after="0" w:line="240" w:lineRule="auto"/>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Hearing Impairment</w:t>
            </w:r>
          </w:p>
        </w:tc>
        <w:tc>
          <w:tcPr>
            <w:tcW w:w="424" w:type="pct"/>
            <w:tcBorders>
              <w:top w:val="single" w:sz="4" w:space="0" w:color="auto"/>
              <w:left w:val="nil"/>
              <w:bottom w:val="single" w:sz="4" w:space="0" w:color="auto"/>
              <w:right w:val="single" w:sz="4" w:space="0" w:color="auto"/>
            </w:tcBorders>
            <w:vAlign w:val="center"/>
          </w:tcPr>
          <w:p w:rsidR="009217A8" w:rsidRPr="009640EE" w:rsidRDefault="007276FF"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37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81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84.0%</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B6515B"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29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66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83.3%</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A11CD2"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30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55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83.6%</w:t>
            </w:r>
          </w:p>
        </w:tc>
      </w:tr>
      <w:tr w:rsidR="009217A8" w:rsidRPr="009640EE" w:rsidTr="00A11CD2">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9640EE">
            <w:pPr>
              <w:spacing w:after="0" w:line="240" w:lineRule="auto"/>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Mental Health Difficulty</w:t>
            </w:r>
          </w:p>
        </w:tc>
        <w:tc>
          <w:tcPr>
            <w:tcW w:w="424" w:type="pct"/>
            <w:tcBorders>
              <w:top w:val="single" w:sz="4" w:space="0" w:color="auto"/>
              <w:left w:val="nil"/>
              <w:bottom w:val="single" w:sz="4" w:space="0" w:color="auto"/>
              <w:right w:val="single" w:sz="4" w:space="0" w:color="auto"/>
            </w:tcBorders>
            <w:vAlign w:val="center"/>
          </w:tcPr>
          <w:p w:rsidR="009217A8" w:rsidRPr="009640EE" w:rsidRDefault="007276FF"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71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147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70.1%</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B6515B"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76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180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78.9%</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A11CD2"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113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20</w:t>
            </w:r>
            <w:r>
              <w:rPr>
                <w:rFonts w:ascii="Calibri" w:eastAsia="Times New Roman" w:hAnsi="Calibri" w:cs="Times New Roman"/>
                <w:color w:val="000000"/>
                <w:sz w:val="20"/>
                <w:lang w:eastAsia="en-GB"/>
              </w:rPr>
              <w:t>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8</w:t>
            </w:r>
            <w:r>
              <w:rPr>
                <w:rFonts w:ascii="Calibri" w:eastAsia="Times New Roman" w:hAnsi="Calibri" w:cs="Times New Roman"/>
                <w:sz w:val="20"/>
                <w:lang w:eastAsia="en-GB"/>
              </w:rPr>
              <w:t>1.7</w:t>
            </w:r>
            <w:r w:rsidRPr="009640EE">
              <w:rPr>
                <w:rFonts w:ascii="Calibri" w:eastAsia="Times New Roman" w:hAnsi="Calibri" w:cs="Times New Roman"/>
                <w:sz w:val="20"/>
                <w:lang w:eastAsia="en-GB"/>
              </w:rPr>
              <w:t>%</w:t>
            </w:r>
          </w:p>
        </w:tc>
      </w:tr>
      <w:tr w:rsidR="009217A8" w:rsidRPr="009640EE" w:rsidTr="00A11CD2">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9640EE">
            <w:pPr>
              <w:spacing w:after="0" w:line="240" w:lineRule="auto"/>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Moderate Learning Difficulty</w:t>
            </w:r>
          </w:p>
        </w:tc>
        <w:tc>
          <w:tcPr>
            <w:tcW w:w="424" w:type="pct"/>
            <w:tcBorders>
              <w:top w:val="single" w:sz="4" w:space="0" w:color="auto"/>
              <w:left w:val="nil"/>
              <w:bottom w:val="single" w:sz="4" w:space="0" w:color="auto"/>
              <w:right w:val="single" w:sz="4" w:space="0" w:color="auto"/>
            </w:tcBorders>
            <w:vAlign w:val="center"/>
          </w:tcPr>
          <w:p w:rsidR="009217A8" w:rsidRPr="009640EE" w:rsidRDefault="007276FF"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100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256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88.3%</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B6515B"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97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255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84.3%</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Default="00A11CD2"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78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194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7</w:t>
            </w:r>
            <w:r>
              <w:rPr>
                <w:rFonts w:ascii="Calibri" w:eastAsia="Times New Roman" w:hAnsi="Calibri" w:cs="Times New Roman"/>
                <w:sz w:val="20"/>
                <w:lang w:eastAsia="en-GB"/>
              </w:rPr>
              <w:t>7.8</w:t>
            </w:r>
            <w:r w:rsidRPr="009640EE">
              <w:rPr>
                <w:rFonts w:ascii="Calibri" w:eastAsia="Times New Roman" w:hAnsi="Calibri" w:cs="Times New Roman"/>
                <w:sz w:val="20"/>
                <w:lang w:eastAsia="en-GB"/>
              </w:rPr>
              <w:t>%</w:t>
            </w:r>
          </w:p>
        </w:tc>
      </w:tr>
      <w:tr w:rsidR="009217A8" w:rsidRPr="009640EE" w:rsidTr="00A11CD2">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9640EE">
            <w:pPr>
              <w:spacing w:after="0" w:line="240" w:lineRule="auto"/>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Other Disability</w:t>
            </w:r>
          </w:p>
        </w:tc>
        <w:tc>
          <w:tcPr>
            <w:tcW w:w="424" w:type="pct"/>
            <w:tcBorders>
              <w:top w:val="single" w:sz="4" w:space="0" w:color="auto"/>
              <w:left w:val="nil"/>
              <w:bottom w:val="single" w:sz="4" w:space="0" w:color="auto"/>
              <w:right w:val="single" w:sz="4" w:space="0" w:color="auto"/>
            </w:tcBorders>
            <w:vAlign w:val="center"/>
          </w:tcPr>
          <w:p w:rsidR="009217A8" w:rsidRPr="009640EE" w:rsidRDefault="007276FF"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41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86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79.1%</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B6515B"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39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85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77.7%</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A11CD2"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36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84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69.</w:t>
            </w:r>
            <w:r>
              <w:rPr>
                <w:rFonts w:ascii="Calibri" w:eastAsia="Times New Roman" w:hAnsi="Calibri" w:cs="Times New Roman"/>
                <w:sz w:val="20"/>
                <w:lang w:eastAsia="en-GB"/>
              </w:rPr>
              <w:t>0</w:t>
            </w:r>
            <w:r w:rsidRPr="009640EE">
              <w:rPr>
                <w:rFonts w:ascii="Calibri" w:eastAsia="Times New Roman" w:hAnsi="Calibri" w:cs="Times New Roman"/>
                <w:sz w:val="20"/>
                <w:lang w:eastAsia="en-GB"/>
              </w:rPr>
              <w:t>%</w:t>
            </w:r>
          </w:p>
        </w:tc>
      </w:tr>
      <w:tr w:rsidR="009217A8" w:rsidRPr="009640EE" w:rsidTr="00A11CD2">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9640EE">
            <w:pPr>
              <w:spacing w:after="0" w:line="240" w:lineRule="auto"/>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Other Learning Difficulty</w:t>
            </w:r>
          </w:p>
        </w:tc>
        <w:tc>
          <w:tcPr>
            <w:tcW w:w="424" w:type="pct"/>
            <w:tcBorders>
              <w:top w:val="single" w:sz="4" w:space="0" w:color="auto"/>
              <w:left w:val="nil"/>
              <w:bottom w:val="single" w:sz="4" w:space="0" w:color="auto"/>
              <w:right w:val="single" w:sz="4" w:space="0" w:color="auto"/>
            </w:tcBorders>
            <w:vAlign w:val="center"/>
          </w:tcPr>
          <w:p w:rsidR="009217A8" w:rsidRPr="009640EE" w:rsidRDefault="007276FF"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30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59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81.0%</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B6515B"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24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75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73.3%</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A11CD2"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27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72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75.0%</w:t>
            </w:r>
          </w:p>
        </w:tc>
      </w:tr>
      <w:tr w:rsidR="009217A8" w:rsidRPr="009640EE" w:rsidTr="00A11CD2">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9640EE">
            <w:pPr>
              <w:spacing w:after="0" w:line="240" w:lineRule="auto"/>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Other Medical Condition (for example epilepsy, asthma, diabetes)</w:t>
            </w:r>
          </w:p>
        </w:tc>
        <w:tc>
          <w:tcPr>
            <w:tcW w:w="424" w:type="pct"/>
            <w:tcBorders>
              <w:top w:val="single" w:sz="4" w:space="0" w:color="auto"/>
              <w:left w:val="nil"/>
              <w:bottom w:val="single" w:sz="4" w:space="0" w:color="auto"/>
              <w:right w:val="single" w:sz="4" w:space="0" w:color="auto"/>
            </w:tcBorders>
            <w:vAlign w:val="center"/>
          </w:tcPr>
          <w:p w:rsidR="009217A8" w:rsidRPr="009640EE" w:rsidRDefault="007276FF"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135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282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79.4%</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B6515B"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162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365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86.3%</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A11CD2"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145</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268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82.8%</w:t>
            </w:r>
          </w:p>
        </w:tc>
      </w:tr>
      <w:tr w:rsidR="009217A8" w:rsidRPr="009640EE" w:rsidTr="00A11CD2">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9640EE">
            <w:pPr>
              <w:spacing w:after="0" w:line="240" w:lineRule="auto"/>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Other Physical Disability</w:t>
            </w:r>
          </w:p>
        </w:tc>
        <w:tc>
          <w:tcPr>
            <w:tcW w:w="424" w:type="pct"/>
            <w:tcBorders>
              <w:top w:val="single" w:sz="4" w:space="0" w:color="auto"/>
              <w:left w:val="nil"/>
              <w:bottom w:val="single" w:sz="4" w:space="0" w:color="auto"/>
              <w:right w:val="single" w:sz="4" w:space="0" w:color="auto"/>
            </w:tcBorders>
            <w:vAlign w:val="center"/>
          </w:tcPr>
          <w:p w:rsidR="009217A8" w:rsidRPr="009640EE" w:rsidRDefault="007276FF"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11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19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68.4%</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B6515B"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17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37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78.4%</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A11CD2"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21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36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91.7%</w:t>
            </w:r>
          </w:p>
        </w:tc>
      </w:tr>
      <w:tr w:rsidR="009217A8" w:rsidRPr="009640EE" w:rsidTr="00A11CD2">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9640EE">
            <w:pPr>
              <w:spacing w:after="0" w:line="240" w:lineRule="auto"/>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Other Specific Learning Difficulty (e.g. Dyspraxia)</w:t>
            </w:r>
          </w:p>
        </w:tc>
        <w:tc>
          <w:tcPr>
            <w:tcW w:w="424" w:type="pct"/>
            <w:tcBorders>
              <w:top w:val="single" w:sz="4" w:space="0" w:color="auto"/>
              <w:left w:val="nil"/>
              <w:bottom w:val="single" w:sz="4" w:space="0" w:color="auto"/>
              <w:right w:val="single" w:sz="4" w:space="0" w:color="auto"/>
            </w:tcBorders>
            <w:vAlign w:val="center"/>
          </w:tcPr>
          <w:p w:rsidR="009217A8" w:rsidRPr="009640EE" w:rsidRDefault="007276FF"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18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41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90.2%</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B6515B"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17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36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86.1%</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A11CD2"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19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89.5%</w:t>
            </w:r>
          </w:p>
        </w:tc>
      </w:tr>
      <w:tr w:rsidR="009217A8" w:rsidRPr="009640EE" w:rsidTr="00A11CD2">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9640EE">
            <w:pPr>
              <w:spacing w:after="0" w:line="240" w:lineRule="auto"/>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Prefer Not to Say</w:t>
            </w:r>
          </w:p>
        </w:tc>
        <w:tc>
          <w:tcPr>
            <w:tcW w:w="424" w:type="pct"/>
            <w:tcBorders>
              <w:top w:val="single" w:sz="4" w:space="0" w:color="auto"/>
              <w:left w:val="nil"/>
              <w:bottom w:val="single" w:sz="4" w:space="0" w:color="auto"/>
              <w:right w:val="single" w:sz="4" w:space="0" w:color="auto"/>
            </w:tcBorders>
            <w:vAlign w:val="center"/>
          </w:tcPr>
          <w:p w:rsidR="009217A8" w:rsidRPr="009640EE" w:rsidRDefault="007276FF"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17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64.7%</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B6515B"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20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90.0%</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A11CD2"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10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1</w:t>
            </w:r>
            <w:r>
              <w:rPr>
                <w:rFonts w:ascii="Calibri" w:eastAsia="Times New Roman" w:hAnsi="Calibri" w:cs="Times New Roman"/>
                <w:color w:val="000000"/>
                <w:sz w:val="20"/>
                <w:lang w:eastAsia="en-GB"/>
              </w:rPr>
              <w:t>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8</w:t>
            </w:r>
            <w:r>
              <w:rPr>
                <w:rFonts w:ascii="Calibri" w:eastAsia="Times New Roman" w:hAnsi="Calibri" w:cs="Times New Roman"/>
                <w:sz w:val="20"/>
                <w:lang w:eastAsia="en-GB"/>
              </w:rPr>
              <w:t>3.3</w:t>
            </w:r>
            <w:r w:rsidRPr="009640EE">
              <w:rPr>
                <w:rFonts w:ascii="Calibri" w:eastAsia="Times New Roman" w:hAnsi="Calibri" w:cs="Times New Roman"/>
                <w:sz w:val="20"/>
                <w:lang w:eastAsia="en-GB"/>
              </w:rPr>
              <w:t>%</w:t>
            </w:r>
          </w:p>
        </w:tc>
      </w:tr>
      <w:tr w:rsidR="009217A8" w:rsidRPr="009640EE" w:rsidTr="00A11CD2">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9640EE">
            <w:pPr>
              <w:spacing w:after="0" w:line="240" w:lineRule="auto"/>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Profound Complex Disabilities</w:t>
            </w:r>
          </w:p>
        </w:tc>
        <w:tc>
          <w:tcPr>
            <w:tcW w:w="424" w:type="pct"/>
            <w:tcBorders>
              <w:top w:val="single" w:sz="4" w:space="0" w:color="auto"/>
              <w:left w:val="nil"/>
              <w:bottom w:val="single" w:sz="4" w:space="0" w:color="auto"/>
              <w:right w:val="single" w:sz="4" w:space="0" w:color="auto"/>
            </w:tcBorders>
            <w:vAlign w:val="center"/>
          </w:tcPr>
          <w:p w:rsidR="009217A8" w:rsidRPr="009640EE" w:rsidRDefault="007276FF"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100.0%</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B6515B"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0.0%</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A11CD2"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3</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100.0%</w:t>
            </w:r>
          </w:p>
        </w:tc>
      </w:tr>
      <w:tr w:rsidR="009217A8" w:rsidRPr="009640EE" w:rsidTr="00A11CD2">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9640EE">
            <w:pPr>
              <w:spacing w:after="0" w:line="240" w:lineRule="auto"/>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Severe Learning Difficulty</w:t>
            </w:r>
          </w:p>
        </w:tc>
        <w:tc>
          <w:tcPr>
            <w:tcW w:w="424" w:type="pct"/>
            <w:tcBorders>
              <w:top w:val="single" w:sz="4" w:space="0" w:color="auto"/>
              <w:left w:val="nil"/>
              <w:bottom w:val="single" w:sz="4" w:space="0" w:color="auto"/>
              <w:right w:val="single" w:sz="4" w:space="0" w:color="auto"/>
            </w:tcBorders>
            <w:vAlign w:val="center"/>
          </w:tcPr>
          <w:p w:rsidR="009217A8" w:rsidRPr="009640EE" w:rsidRDefault="007276FF"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18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72.2%</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B6515B"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12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27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77.8%</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A11CD2"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11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17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76.5%</w:t>
            </w:r>
          </w:p>
        </w:tc>
      </w:tr>
      <w:tr w:rsidR="009217A8" w:rsidRPr="009640EE" w:rsidTr="00A11CD2">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9640EE">
            <w:pPr>
              <w:spacing w:after="0" w:line="240" w:lineRule="auto"/>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Social and Emotional Difficulties</w:t>
            </w:r>
          </w:p>
        </w:tc>
        <w:tc>
          <w:tcPr>
            <w:tcW w:w="424" w:type="pct"/>
            <w:tcBorders>
              <w:top w:val="single" w:sz="4" w:space="0" w:color="auto"/>
              <w:left w:val="nil"/>
              <w:bottom w:val="single" w:sz="4" w:space="0" w:color="auto"/>
              <w:right w:val="single" w:sz="4" w:space="0" w:color="auto"/>
            </w:tcBorders>
            <w:vAlign w:val="center"/>
          </w:tcPr>
          <w:p w:rsidR="009217A8" w:rsidRPr="009640EE" w:rsidRDefault="007276FF"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41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91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69.2%</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B6515B"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38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89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71.9%</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A11CD2"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41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77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77.9%</w:t>
            </w:r>
          </w:p>
        </w:tc>
      </w:tr>
      <w:tr w:rsidR="009217A8" w:rsidRPr="009640EE" w:rsidTr="00A11CD2">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9640EE">
            <w:pPr>
              <w:spacing w:after="0" w:line="240" w:lineRule="auto"/>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Speech, Language &amp; Communication Needs</w:t>
            </w:r>
          </w:p>
        </w:tc>
        <w:tc>
          <w:tcPr>
            <w:tcW w:w="424" w:type="pct"/>
            <w:tcBorders>
              <w:top w:val="single" w:sz="4" w:space="0" w:color="auto"/>
              <w:left w:val="nil"/>
              <w:bottom w:val="single" w:sz="4" w:space="0" w:color="auto"/>
              <w:right w:val="single" w:sz="4" w:space="0" w:color="auto"/>
            </w:tcBorders>
            <w:vAlign w:val="center"/>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B6515B"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8</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19</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79.0%</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A11CD2"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14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3</w:t>
            </w:r>
            <w:r>
              <w:rPr>
                <w:rFonts w:ascii="Calibri" w:eastAsia="Times New Roman" w:hAnsi="Calibri" w:cs="Times New Roman"/>
                <w:color w:val="000000"/>
                <w:sz w:val="20"/>
                <w:lang w:eastAsia="en-GB"/>
              </w:rPr>
              <w:t>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9</w:t>
            </w:r>
            <w:r>
              <w:rPr>
                <w:rFonts w:ascii="Calibri" w:eastAsia="Times New Roman" w:hAnsi="Calibri" w:cs="Times New Roman"/>
                <w:sz w:val="20"/>
                <w:lang w:eastAsia="en-GB"/>
              </w:rPr>
              <w:t>1.7</w:t>
            </w:r>
            <w:r w:rsidRPr="009640EE">
              <w:rPr>
                <w:rFonts w:ascii="Calibri" w:eastAsia="Times New Roman" w:hAnsi="Calibri" w:cs="Times New Roman"/>
                <w:sz w:val="20"/>
                <w:lang w:eastAsia="en-GB"/>
              </w:rPr>
              <w:t>%</w:t>
            </w:r>
          </w:p>
        </w:tc>
      </w:tr>
      <w:tr w:rsidR="009217A8" w:rsidRPr="009640EE" w:rsidTr="00A11CD2">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9640EE">
            <w:pPr>
              <w:spacing w:after="0" w:line="240" w:lineRule="auto"/>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Temporary Disability After Accident or Illness</w:t>
            </w:r>
          </w:p>
        </w:tc>
        <w:tc>
          <w:tcPr>
            <w:tcW w:w="424" w:type="pct"/>
            <w:tcBorders>
              <w:top w:val="single" w:sz="4" w:space="0" w:color="auto"/>
              <w:left w:val="nil"/>
              <w:bottom w:val="single" w:sz="4" w:space="0" w:color="auto"/>
              <w:right w:val="single" w:sz="4" w:space="0" w:color="auto"/>
            </w:tcBorders>
            <w:vAlign w:val="center"/>
          </w:tcPr>
          <w:p w:rsidR="009217A8" w:rsidRPr="009640EE" w:rsidRDefault="007276FF"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100.0%</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B6515B"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7</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100.0%</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A11CD2"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11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72.7%</w:t>
            </w:r>
          </w:p>
        </w:tc>
      </w:tr>
      <w:tr w:rsidR="009217A8" w:rsidRPr="009640EE" w:rsidTr="00A11CD2">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9640EE">
            <w:pPr>
              <w:spacing w:after="0" w:line="240" w:lineRule="auto"/>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Visual Impairment</w:t>
            </w:r>
          </w:p>
        </w:tc>
        <w:tc>
          <w:tcPr>
            <w:tcW w:w="424" w:type="pct"/>
            <w:tcBorders>
              <w:top w:val="single" w:sz="4" w:space="0" w:color="auto"/>
              <w:left w:val="nil"/>
              <w:bottom w:val="single" w:sz="4" w:space="0" w:color="auto"/>
              <w:right w:val="single" w:sz="4" w:space="0" w:color="auto"/>
            </w:tcBorders>
            <w:vAlign w:val="center"/>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B6515B"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32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62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85.5%</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A11CD2"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34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6</w:t>
            </w:r>
            <w:r>
              <w:rPr>
                <w:rFonts w:ascii="Calibri" w:eastAsia="Times New Roman" w:hAnsi="Calibri" w:cs="Times New Roman"/>
                <w:color w:val="000000"/>
                <w:sz w:val="20"/>
                <w:lang w:eastAsia="en-GB"/>
              </w:rPr>
              <w:t>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8</w:t>
            </w:r>
            <w:r>
              <w:rPr>
                <w:rFonts w:ascii="Calibri" w:eastAsia="Times New Roman" w:hAnsi="Calibri" w:cs="Times New Roman"/>
                <w:sz w:val="20"/>
                <w:lang w:eastAsia="en-GB"/>
              </w:rPr>
              <w:t>7.9</w:t>
            </w:r>
            <w:r w:rsidRPr="009640EE">
              <w:rPr>
                <w:rFonts w:ascii="Calibri" w:eastAsia="Times New Roman" w:hAnsi="Calibri" w:cs="Times New Roman"/>
                <w:sz w:val="20"/>
                <w:lang w:eastAsia="en-GB"/>
              </w:rPr>
              <w:t>%</w:t>
            </w:r>
          </w:p>
        </w:tc>
      </w:tr>
      <w:tr w:rsidR="009217A8" w:rsidRPr="009640EE" w:rsidTr="00A11CD2">
        <w:trPr>
          <w:trHeight w:val="300"/>
        </w:trPr>
        <w:tc>
          <w:tcPr>
            <w:tcW w:w="1184" w:type="pct"/>
            <w:tcBorders>
              <w:top w:val="nil"/>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9640EE">
            <w:pPr>
              <w:spacing w:after="0" w:line="240" w:lineRule="auto"/>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Not Provided</w:t>
            </w:r>
          </w:p>
        </w:tc>
        <w:tc>
          <w:tcPr>
            <w:tcW w:w="424" w:type="pct"/>
            <w:tcBorders>
              <w:top w:val="single" w:sz="4" w:space="0" w:color="auto"/>
              <w:left w:val="nil"/>
              <w:bottom w:val="single" w:sz="4" w:space="0" w:color="auto"/>
              <w:right w:val="single" w:sz="4" w:space="0" w:color="auto"/>
            </w:tcBorders>
            <w:vAlign w:val="center"/>
          </w:tcPr>
          <w:p w:rsidR="009217A8" w:rsidRPr="009640EE" w:rsidRDefault="007276FF"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41</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71.2%</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Pr="009640EE" w:rsidRDefault="00B6515B"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6</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sidRPr="009640EE">
              <w:rPr>
                <w:rFonts w:ascii="Calibri" w:eastAsia="Times New Roman" w:hAnsi="Calibri" w:cs="Times New Roman"/>
                <w:color w:val="000000"/>
                <w:sz w:val="20"/>
                <w:lang w:eastAsia="en-GB"/>
              </w:rPr>
              <w:t>64</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sidRPr="009640EE">
              <w:rPr>
                <w:rFonts w:ascii="Calibri" w:eastAsia="Times New Roman" w:hAnsi="Calibri" w:cs="Times New Roman"/>
                <w:sz w:val="20"/>
                <w:lang w:eastAsia="en-GB"/>
              </w:rPr>
              <w:t>100.0%</w:t>
            </w:r>
          </w:p>
        </w:tc>
        <w:tc>
          <w:tcPr>
            <w:tcW w:w="424" w:type="pct"/>
            <w:tcBorders>
              <w:top w:val="single" w:sz="4" w:space="0" w:color="auto"/>
              <w:left w:val="single" w:sz="4" w:space="0" w:color="auto"/>
              <w:bottom w:val="single" w:sz="4" w:space="0" w:color="auto"/>
              <w:right w:val="single" w:sz="4" w:space="0" w:color="auto"/>
            </w:tcBorders>
            <w:vAlign w:val="center"/>
          </w:tcPr>
          <w:p w:rsidR="009217A8" w:rsidRDefault="00A11CD2"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color w:val="000000"/>
                <w:sz w:val="20"/>
                <w:lang w:eastAsia="en-GB"/>
              </w:rPr>
            </w:pPr>
            <w:r>
              <w:rPr>
                <w:rFonts w:ascii="Calibri" w:eastAsia="Times New Roman" w:hAnsi="Calibri" w:cs="Times New Roman"/>
                <w:color w:val="000000"/>
                <w:sz w:val="20"/>
                <w:lang w:eastAsia="en-GB"/>
              </w:rPr>
              <w:t>2</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17A8" w:rsidRPr="009640EE" w:rsidRDefault="009217A8" w:rsidP="00A11CD2">
            <w:pPr>
              <w:spacing w:after="0" w:line="240" w:lineRule="auto"/>
              <w:jc w:val="center"/>
              <w:rPr>
                <w:rFonts w:ascii="Calibri" w:eastAsia="Times New Roman" w:hAnsi="Calibri" w:cs="Times New Roman"/>
                <w:sz w:val="20"/>
                <w:lang w:eastAsia="en-GB"/>
              </w:rPr>
            </w:pPr>
            <w:r>
              <w:rPr>
                <w:rFonts w:ascii="Calibri" w:eastAsia="Times New Roman" w:hAnsi="Calibri" w:cs="Times New Roman"/>
                <w:sz w:val="20"/>
                <w:lang w:eastAsia="en-GB"/>
              </w:rPr>
              <w:t>0.0</w:t>
            </w:r>
            <w:r w:rsidRPr="009640EE">
              <w:rPr>
                <w:rFonts w:ascii="Calibri" w:eastAsia="Times New Roman" w:hAnsi="Calibri" w:cs="Times New Roman"/>
                <w:sz w:val="20"/>
                <w:lang w:eastAsia="en-GB"/>
              </w:rPr>
              <w:t>%</w:t>
            </w:r>
          </w:p>
        </w:tc>
      </w:tr>
    </w:tbl>
    <w:p w:rsidR="009640EE" w:rsidRPr="009640EE" w:rsidRDefault="009640EE" w:rsidP="009640EE">
      <w:pPr>
        <w:spacing w:after="0" w:line="240" w:lineRule="auto"/>
      </w:pPr>
    </w:p>
    <w:p w:rsidR="009640EE" w:rsidRDefault="009640EE" w:rsidP="009640EE">
      <w:pPr>
        <w:spacing w:after="0" w:line="240" w:lineRule="auto"/>
      </w:pPr>
      <w:r w:rsidRPr="009640EE">
        <w:t>There are some small emerging achievement gaps for students who have declared Aspergers Syndrome, other disabilities and temporary disabilities where achievement rates were below 75%, however the number of students are small and statistically sensitive.</w:t>
      </w:r>
    </w:p>
    <w:p w:rsidR="00E52619" w:rsidRDefault="00E52619" w:rsidP="009640EE">
      <w:pPr>
        <w:spacing w:after="0" w:line="240" w:lineRule="auto"/>
      </w:pPr>
    </w:p>
    <w:p w:rsidR="00DA7AF2" w:rsidRDefault="00DA7AF2" w:rsidP="009640EE">
      <w:pPr>
        <w:spacing w:after="0" w:line="240" w:lineRule="auto"/>
        <w:rPr>
          <w:b/>
        </w:rPr>
      </w:pPr>
      <w:r>
        <w:rPr>
          <w:b/>
        </w:rPr>
        <w:t>Care Leavers</w:t>
      </w:r>
    </w:p>
    <w:tbl>
      <w:tblPr>
        <w:tblW w:w="8653" w:type="dxa"/>
        <w:tblInd w:w="108" w:type="dxa"/>
        <w:tblLook w:val="04A0" w:firstRow="1" w:lastRow="0" w:firstColumn="1" w:lastColumn="0" w:noHBand="0" w:noVBand="1"/>
      </w:tblPr>
      <w:tblGrid>
        <w:gridCol w:w="1849"/>
        <w:gridCol w:w="1134"/>
        <w:gridCol w:w="1134"/>
        <w:gridCol w:w="1134"/>
        <w:gridCol w:w="1134"/>
        <w:gridCol w:w="1134"/>
        <w:gridCol w:w="1134"/>
      </w:tblGrid>
      <w:tr w:rsidR="00DA7AF2" w:rsidRPr="00DA7AF2" w:rsidTr="00DA7AF2">
        <w:trPr>
          <w:trHeight w:val="298"/>
        </w:trPr>
        <w:tc>
          <w:tcPr>
            <w:tcW w:w="1849" w:type="dxa"/>
            <w:tcBorders>
              <w:top w:val="nil"/>
              <w:left w:val="nil"/>
              <w:bottom w:val="nil"/>
              <w:right w:val="nil"/>
            </w:tcBorders>
            <w:shd w:val="clear" w:color="auto" w:fill="auto"/>
            <w:noWrap/>
            <w:vAlign w:val="center"/>
            <w:hideMark/>
          </w:tcPr>
          <w:p w:rsidR="00DA7AF2" w:rsidRPr="00DA7AF2" w:rsidRDefault="00DA7AF2" w:rsidP="00DA7AF2">
            <w:pPr>
              <w:spacing w:after="0" w:line="240" w:lineRule="auto"/>
              <w:jc w:val="center"/>
              <w:rPr>
                <w:rFonts w:ascii="Calibri" w:eastAsia="Times New Roman" w:hAnsi="Calibri" w:cs="Times New Roman"/>
                <w:color w:val="000000"/>
                <w:sz w:val="20"/>
                <w:szCs w:val="20"/>
                <w:lang w:eastAsia="en-GB"/>
              </w:rPr>
            </w:pPr>
          </w:p>
        </w:tc>
        <w:tc>
          <w:tcPr>
            <w:tcW w:w="2268" w:type="dxa"/>
            <w:gridSpan w:val="2"/>
            <w:tcBorders>
              <w:top w:val="single" w:sz="4" w:space="0" w:color="auto"/>
              <w:left w:val="single" w:sz="4" w:space="0" w:color="auto"/>
              <w:bottom w:val="single" w:sz="4" w:space="0" w:color="auto"/>
              <w:right w:val="single" w:sz="4" w:space="0" w:color="000000"/>
            </w:tcBorders>
            <w:shd w:val="clear" w:color="auto" w:fill="C6D9F1" w:themeFill="text2" w:themeFillTint="33"/>
            <w:noWrap/>
            <w:vAlign w:val="center"/>
            <w:hideMark/>
          </w:tcPr>
          <w:p w:rsidR="00DA7AF2" w:rsidRPr="00B502DC" w:rsidRDefault="00DA7AF2" w:rsidP="00DA7AF2">
            <w:pPr>
              <w:spacing w:after="0" w:line="240" w:lineRule="auto"/>
              <w:jc w:val="center"/>
              <w:rPr>
                <w:rFonts w:ascii="Calibri" w:eastAsia="Times New Roman" w:hAnsi="Calibri" w:cs="Times New Roman"/>
                <w:b/>
                <w:color w:val="000000"/>
                <w:sz w:val="20"/>
                <w:szCs w:val="20"/>
                <w:lang w:eastAsia="en-GB"/>
              </w:rPr>
            </w:pPr>
            <w:r w:rsidRPr="00B502DC">
              <w:rPr>
                <w:rFonts w:ascii="Calibri" w:eastAsia="Times New Roman" w:hAnsi="Calibri" w:cs="Times New Roman"/>
                <w:b/>
                <w:color w:val="000000"/>
                <w:sz w:val="20"/>
                <w:szCs w:val="20"/>
                <w:lang w:eastAsia="en-GB"/>
              </w:rPr>
              <w:t>2015/16</w:t>
            </w:r>
          </w:p>
        </w:tc>
        <w:tc>
          <w:tcPr>
            <w:tcW w:w="2268" w:type="dxa"/>
            <w:gridSpan w:val="2"/>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DA7AF2" w:rsidRPr="00B502DC" w:rsidRDefault="00DA7AF2" w:rsidP="00DA7AF2">
            <w:pPr>
              <w:spacing w:after="0" w:line="240" w:lineRule="auto"/>
              <w:jc w:val="center"/>
              <w:rPr>
                <w:rFonts w:ascii="Calibri" w:eastAsia="Times New Roman" w:hAnsi="Calibri" w:cs="Times New Roman"/>
                <w:b/>
                <w:color w:val="000000"/>
                <w:sz w:val="20"/>
                <w:szCs w:val="20"/>
                <w:lang w:eastAsia="en-GB"/>
              </w:rPr>
            </w:pPr>
            <w:r w:rsidRPr="00B502DC">
              <w:rPr>
                <w:rFonts w:ascii="Calibri" w:eastAsia="Times New Roman" w:hAnsi="Calibri" w:cs="Times New Roman"/>
                <w:b/>
                <w:color w:val="000000"/>
                <w:sz w:val="20"/>
                <w:szCs w:val="20"/>
                <w:lang w:eastAsia="en-GB"/>
              </w:rPr>
              <w:t>2016/17</w:t>
            </w:r>
          </w:p>
        </w:tc>
        <w:tc>
          <w:tcPr>
            <w:tcW w:w="2268" w:type="dxa"/>
            <w:gridSpan w:val="2"/>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DA7AF2" w:rsidRPr="00B502DC" w:rsidRDefault="00DA7AF2" w:rsidP="00DA7AF2">
            <w:pPr>
              <w:spacing w:after="0" w:line="240" w:lineRule="auto"/>
              <w:jc w:val="center"/>
              <w:rPr>
                <w:rFonts w:ascii="Calibri" w:eastAsia="Times New Roman" w:hAnsi="Calibri" w:cs="Times New Roman"/>
                <w:b/>
                <w:color w:val="000000"/>
                <w:sz w:val="20"/>
                <w:szCs w:val="20"/>
                <w:lang w:eastAsia="en-GB"/>
              </w:rPr>
            </w:pPr>
            <w:r w:rsidRPr="00B502DC">
              <w:rPr>
                <w:rFonts w:ascii="Calibri" w:eastAsia="Times New Roman" w:hAnsi="Calibri" w:cs="Times New Roman"/>
                <w:b/>
                <w:color w:val="000000"/>
                <w:sz w:val="20"/>
                <w:szCs w:val="20"/>
                <w:lang w:eastAsia="en-GB"/>
              </w:rPr>
              <w:t>2017/18</w:t>
            </w:r>
          </w:p>
        </w:tc>
      </w:tr>
      <w:tr w:rsidR="00DA7AF2" w:rsidRPr="00DA7AF2" w:rsidTr="00DA7AF2">
        <w:trPr>
          <w:trHeight w:val="298"/>
        </w:trPr>
        <w:tc>
          <w:tcPr>
            <w:tcW w:w="1849" w:type="dxa"/>
            <w:tcBorders>
              <w:top w:val="nil"/>
              <w:left w:val="nil"/>
              <w:bottom w:val="nil"/>
              <w:right w:val="nil"/>
            </w:tcBorders>
            <w:shd w:val="clear" w:color="auto" w:fill="auto"/>
            <w:noWrap/>
            <w:vAlign w:val="center"/>
            <w:hideMark/>
          </w:tcPr>
          <w:p w:rsidR="00DA7AF2" w:rsidRPr="00DA7AF2" w:rsidRDefault="00DA7AF2" w:rsidP="00DA7AF2">
            <w:pPr>
              <w:spacing w:after="0" w:line="240" w:lineRule="auto"/>
              <w:jc w:val="center"/>
              <w:rPr>
                <w:rFonts w:ascii="Calibri" w:eastAsia="Times New Roman" w:hAnsi="Calibri" w:cs="Times New Roman"/>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DA7AF2" w:rsidRPr="00B502DC" w:rsidRDefault="00B502DC" w:rsidP="00DA7AF2">
            <w:pPr>
              <w:spacing w:after="0" w:line="240" w:lineRule="auto"/>
              <w:jc w:val="center"/>
              <w:rPr>
                <w:rFonts w:ascii="Calibri" w:eastAsia="Times New Roman" w:hAnsi="Calibri" w:cs="Times New Roman"/>
                <w:b/>
                <w:color w:val="000000"/>
                <w:sz w:val="20"/>
                <w:szCs w:val="20"/>
                <w:lang w:eastAsia="en-GB"/>
              </w:rPr>
            </w:pPr>
            <w:r w:rsidRPr="00B502DC">
              <w:rPr>
                <w:rFonts w:ascii="Calibri" w:eastAsia="Times New Roman" w:hAnsi="Calibri" w:cs="Times New Roman"/>
                <w:b/>
                <w:color w:val="000000"/>
                <w:sz w:val="20"/>
                <w:szCs w:val="20"/>
                <w:lang w:eastAsia="en-GB"/>
              </w:rPr>
              <w:t>Enrols</w:t>
            </w:r>
          </w:p>
        </w:tc>
        <w:tc>
          <w:tcPr>
            <w:tcW w:w="1134" w:type="dxa"/>
            <w:tcBorders>
              <w:top w:val="nil"/>
              <w:left w:val="nil"/>
              <w:bottom w:val="single" w:sz="4" w:space="0" w:color="auto"/>
              <w:right w:val="single" w:sz="4" w:space="0" w:color="auto"/>
            </w:tcBorders>
            <w:shd w:val="clear" w:color="auto" w:fill="C6D9F1" w:themeFill="text2" w:themeFillTint="33"/>
            <w:noWrap/>
            <w:vAlign w:val="center"/>
            <w:hideMark/>
          </w:tcPr>
          <w:p w:rsidR="00DA7AF2" w:rsidRPr="00B502DC" w:rsidRDefault="00DA7AF2" w:rsidP="00DA7AF2">
            <w:pPr>
              <w:spacing w:after="0" w:line="240" w:lineRule="auto"/>
              <w:jc w:val="center"/>
              <w:rPr>
                <w:rFonts w:ascii="Calibri" w:eastAsia="Times New Roman" w:hAnsi="Calibri" w:cs="Times New Roman"/>
                <w:b/>
                <w:color w:val="000000"/>
                <w:sz w:val="20"/>
                <w:szCs w:val="20"/>
                <w:lang w:eastAsia="en-GB"/>
              </w:rPr>
            </w:pPr>
            <w:r w:rsidRPr="00B502DC">
              <w:rPr>
                <w:rFonts w:ascii="Calibri" w:eastAsia="Times New Roman" w:hAnsi="Calibri" w:cs="Times New Roman"/>
                <w:b/>
                <w:color w:val="000000"/>
                <w:sz w:val="20"/>
                <w:szCs w:val="20"/>
                <w:lang w:eastAsia="en-GB"/>
              </w:rPr>
              <w:t>Ach</w:t>
            </w:r>
          </w:p>
        </w:tc>
        <w:tc>
          <w:tcPr>
            <w:tcW w:w="1134" w:type="dxa"/>
            <w:tcBorders>
              <w:top w:val="nil"/>
              <w:left w:val="nil"/>
              <w:bottom w:val="single" w:sz="4" w:space="0" w:color="auto"/>
              <w:right w:val="single" w:sz="4" w:space="0" w:color="auto"/>
            </w:tcBorders>
            <w:shd w:val="clear" w:color="auto" w:fill="C6D9F1" w:themeFill="text2" w:themeFillTint="33"/>
            <w:noWrap/>
            <w:vAlign w:val="center"/>
            <w:hideMark/>
          </w:tcPr>
          <w:p w:rsidR="00DA7AF2" w:rsidRPr="00B502DC" w:rsidRDefault="00B502DC" w:rsidP="00DA7AF2">
            <w:pPr>
              <w:spacing w:after="0" w:line="240" w:lineRule="auto"/>
              <w:jc w:val="center"/>
              <w:rPr>
                <w:rFonts w:ascii="Calibri" w:eastAsia="Times New Roman" w:hAnsi="Calibri" w:cs="Times New Roman"/>
                <w:b/>
                <w:color w:val="000000"/>
                <w:sz w:val="20"/>
                <w:szCs w:val="20"/>
                <w:lang w:eastAsia="en-GB"/>
              </w:rPr>
            </w:pPr>
            <w:r w:rsidRPr="00B502DC">
              <w:rPr>
                <w:rFonts w:ascii="Calibri" w:eastAsia="Times New Roman" w:hAnsi="Calibri" w:cs="Times New Roman"/>
                <w:b/>
                <w:color w:val="000000"/>
                <w:sz w:val="20"/>
                <w:szCs w:val="20"/>
                <w:lang w:eastAsia="en-GB"/>
              </w:rPr>
              <w:t>Enrols</w:t>
            </w:r>
          </w:p>
        </w:tc>
        <w:tc>
          <w:tcPr>
            <w:tcW w:w="1134" w:type="dxa"/>
            <w:tcBorders>
              <w:top w:val="nil"/>
              <w:left w:val="nil"/>
              <w:bottom w:val="single" w:sz="4" w:space="0" w:color="auto"/>
              <w:right w:val="single" w:sz="4" w:space="0" w:color="auto"/>
            </w:tcBorders>
            <w:shd w:val="clear" w:color="auto" w:fill="C6D9F1" w:themeFill="text2" w:themeFillTint="33"/>
            <w:noWrap/>
            <w:vAlign w:val="center"/>
            <w:hideMark/>
          </w:tcPr>
          <w:p w:rsidR="00DA7AF2" w:rsidRPr="00B502DC" w:rsidRDefault="00DA7AF2" w:rsidP="00DA7AF2">
            <w:pPr>
              <w:spacing w:after="0" w:line="240" w:lineRule="auto"/>
              <w:jc w:val="center"/>
              <w:rPr>
                <w:rFonts w:ascii="Calibri" w:eastAsia="Times New Roman" w:hAnsi="Calibri" w:cs="Times New Roman"/>
                <w:b/>
                <w:color w:val="000000"/>
                <w:sz w:val="20"/>
                <w:szCs w:val="20"/>
                <w:lang w:eastAsia="en-GB"/>
              </w:rPr>
            </w:pPr>
            <w:r w:rsidRPr="00B502DC">
              <w:rPr>
                <w:rFonts w:ascii="Calibri" w:eastAsia="Times New Roman" w:hAnsi="Calibri" w:cs="Times New Roman"/>
                <w:b/>
                <w:color w:val="000000"/>
                <w:sz w:val="20"/>
                <w:szCs w:val="20"/>
                <w:lang w:eastAsia="en-GB"/>
              </w:rPr>
              <w:t>Ach</w:t>
            </w:r>
          </w:p>
        </w:tc>
        <w:tc>
          <w:tcPr>
            <w:tcW w:w="1134" w:type="dxa"/>
            <w:tcBorders>
              <w:top w:val="nil"/>
              <w:left w:val="nil"/>
              <w:bottom w:val="single" w:sz="4" w:space="0" w:color="auto"/>
              <w:right w:val="single" w:sz="4" w:space="0" w:color="auto"/>
            </w:tcBorders>
            <w:shd w:val="clear" w:color="auto" w:fill="C6D9F1" w:themeFill="text2" w:themeFillTint="33"/>
            <w:noWrap/>
            <w:vAlign w:val="center"/>
            <w:hideMark/>
          </w:tcPr>
          <w:p w:rsidR="00DA7AF2" w:rsidRPr="00B502DC" w:rsidRDefault="00B502DC" w:rsidP="00DA7AF2">
            <w:pPr>
              <w:spacing w:after="0" w:line="240" w:lineRule="auto"/>
              <w:jc w:val="center"/>
              <w:rPr>
                <w:rFonts w:ascii="Calibri" w:eastAsia="Times New Roman" w:hAnsi="Calibri" w:cs="Times New Roman"/>
                <w:b/>
                <w:color w:val="000000"/>
                <w:sz w:val="20"/>
                <w:szCs w:val="20"/>
                <w:lang w:eastAsia="en-GB"/>
              </w:rPr>
            </w:pPr>
            <w:r w:rsidRPr="00B502DC">
              <w:rPr>
                <w:rFonts w:ascii="Calibri" w:eastAsia="Times New Roman" w:hAnsi="Calibri" w:cs="Times New Roman"/>
                <w:b/>
                <w:color w:val="000000"/>
                <w:sz w:val="20"/>
                <w:szCs w:val="20"/>
                <w:lang w:eastAsia="en-GB"/>
              </w:rPr>
              <w:t>Enrols</w:t>
            </w:r>
          </w:p>
        </w:tc>
        <w:tc>
          <w:tcPr>
            <w:tcW w:w="1134" w:type="dxa"/>
            <w:tcBorders>
              <w:top w:val="nil"/>
              <w:left w:val="nil"/>
              <w:bottom w:val="single" w:sz="4" w:space="0" w:color="auto"/>
              <w:right w:val="single" w:sz="4" w:space="0" w:color="auto"/>
            </w:tcBorders>
            <w:shd w:val="clear" w:color="auto" w:fill="C6D9F1" w:themeFill="text2" w:themeFillTint="33"/>
            <w:noWrap/>
            <w:vAlign w:val="center"/>
            <w:hideMark/>
          </w:tcPr>
          <w:p w:rsidR="00DA7AF2" w:rsidRPr="00B502DC" w:rsidRDefault="00DA7AF2" w:rsidP="00DA7AF2">
            <w:pPr>
              <w:spacing w:after="0" w:line="240" w:lineRule="auto"/>
              <w:jc w:val="center"/>
              <w:rPr>
                <w:rFonts w:ascii="Calibri" w:eastAsia="Times New Roman" w:hAnsi="Calibri" w:cs="Times New Roman"/>
                <w:b/>
                <w:color w:val="000000"/>
                <w:sz w:val="20"/>
                <w:szCs w:val="20"/>
                <w:lang w:eastAsia="en-GB"/>
              </w:rPr>
            </w:pPr>
            <w:r w:rsidRPr="00B502DC">
              <w:rPr>
                <w:rFonts w:ascii="Calibri" w:eastAsia="Times New Roman" w:hAnsi="Calibri" w:cs="Times New Roman"/>
                <w:b/>
                <w:color w:val="000000"/>
                <w:sz w:val="20"/>
                <w:szCs w:val="20"/>
                <w:lang w:eastAsia="en-GB"/>
              </w:rPr>
              <w:t>Ach</w:t>
            </w:r>
          </w:p>
        </w:tc>
      </w:tr>
      <w:tr w:rsidR="00DA7AF2" w:rsidRPr="00DA7AF2" w:rsidTr="00DA7AF2">
        <w:trPr>
          <w:trHeight w:val="298"/>
        </w:trPr>
        <w:tc>
          <w:tcPr>
            <w:tcW w:w="1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AF2" w:rsidRPr="00DA7AF2" w:rsidRDefault="00DA7AF2" w:rsidP="00DA7AF2">
            <w:pPr>
              <w:spacing w:after="0" w:line="240" w:lineRule="auto"/>
              <w:rPr>
                <w:rFonts w:ascii="Calibri" w:eastAsia="Times New Roman" w:hAnsi="Calibri" w:cs="Times New Roman"/>
                <w:color w:val="000000"/>
                <w:sz w:val="20"/>
                <w:szCs w:val="20"/>
                <w:lang w:eastAsia="en-GB"/>
              </w:rPr>
            </w:pPr>
            <w:r w:rsidRPr="00DA7AF2">
              <w:rPr>
                <w:rFonts w:ascii="Calibri" w:eastAsia="Times New Roman" w:hAnsi="Calibri" w:cs="Times New Roman"/>
                <w:color w:val="000000"/>
                <w:sz w:val="20"/>
                <w:szCs w:val="20"/>
                <w:lang w:eastAsia="en-GB"/>
              </w:rPr>
              <w:t>Non Care Leaver</w:t>
            </w:r>
          </w:p>
        </w:tc>
        <w:tc>
          <w:tcPr>
            <w:tcW w:w="1134" w:type="dxa"/>
            <w:tcBorders>
              <w:top w:val="nil"/>
              <w:left w:val="nil"/>
              <w:bottom w:val="single" w:sz="4" w:space="0" w:color="auto"/>
              <w:right w:val="single" w:sz="4" w:space="0" w:color="auto"/>
            </w:tcBorders>
            <w:shd w:val="clear" w:color="auto" w:fill="auto"/>
            <w:noWrap/>
            <w:vAlign w:val="center"/>
            <w:hideMark/>
          </w:tcPr>
          <w:p w:rsidR="00DA7AF2" w:rsidRPr="00DA7AF2" w:rsidRDefault="00DA7AF2" w:rsidP="00DA7AF2">
            <w:pPr>
              <w:spacing w:after="0" w:line="240" w:lineRule="auto"/>
              <w:jc w:val="center"/>
              <w:rPr>
                <w:rFonts w:ascii="Calibri" w:eastAsia="Times New Roman" w:hAnsi="Calibri" w:cs="Times New Roman"/>
                <w:color w:val="000000"/>
                <w:sz w:val="20"/>
                <w:szCs w:val="20"/>
                <w:lang w:eastAsia="en-GB"/>
              </w:rPr>
            </w:pPr>
            <w:r w:rsidRPr="00DA7AF2">
              <w:rPr>
                <w:rFonts w:ascii="Calibri" w:eastAsia="Times New Roman" w:hAnsi="Calibri" w:cs="Times New Roman"/>
                <w:color w:val="000000"/>
                <w:sz w:val="20"/>
                <w:szCs w:val="20"/>
                <w:lang w:eastAsia="en-GB"/>
              </w:rPr>
              <w:t>8</w:t>
            </w:r>
            <w:r w:rsidR="00B502DC">
              <w:rPr>
                <w:rFonts w:ascii="Calibri" w:eastAsia="Times New Roman" w:hAnsi="Calibri" w:cs="Times New Roman"/>
                <w:color w:val="000000"/>
                <w:sz w:val="20"/>
                <w:szCs w:val="20"/>
                <w:lang w:eastAsia="en-GB"/>
              </w:rPr>
              <w:t>,</w:t>
            </w:r>
            <w:r w:rsidRPr="00DA7AF2">
              <w:rPr>
                <w:rFonts w:ascii="Calibri" w:eastAsia="Times New Roman" w:hAnsi="Calibri" w:cs="Times New Roman"/>
                <w:color w:val="000000"/>
                <w:sz w:val="20"/>
                <w:szCs w:val="20"/>
                <w:lang w:eastAsia="en-GB"/>
              </w:rPr>
              <w:t>465</w:t>
            </w:r>
          </w:p>
        </w:tc>
        <w:tc>
          <w:tcPr>
            <w:tcW w:w="1134" w:type="dxa"/>
            <w:tcBorders>
              <w:top w:val="nil"/>
              <w:left w:val="nil"/>
              <w:bottom w:val="single" w:sz="4" w:space="0" w:color="auto"/>
              <w:right w:val="single" w:sz="4" w:space="0" w:color="auto"/>
            </w:tcBorders>
            <w:shd w:val="clear" w:color="auto" w:fill="auto"/>
            <w:noWrap/>
            <w:vAlign w:val="center"/>
            <w:hideMark/>
          </w:tcPr>
          <w:p w:rsidR="00DA7AF2" w:rsidRPr="00DA7AF2" w:rsidRDefault="00DA7AF2" w:rsidP="00DA7AF2">
            <w:pPr>
              <w:spacing w:after="0" w:line="240" w:lineRule="auto"/>
              <w:jc w:val="center"/>
              <w:rPr>
                <w:rFonts w:ascii="Calibri" w:eastAsia="Times New Roman" w:hAnsi="Calibri" w:cs="Times New Roman"/>
                <w:color w:val="000000"/>
                <w:sz w:val="20"/>
                <w:szCs w:val="20"/>
                <w:lang w:eastAsia="en-GB"/>
              </w:rPr>
            </w:pPr>
            <w:r w:rsidRPr="00DA7AF2">
              <w:rPr>
                <w:rFonts w:ascii="Calibri" w:eastAsia="Times New Roman" w:hAnsi="Calibri" w:cs="Times New Roman"/>
                <w:color w:val="000000"/>
                <w:sz w:val="20"/>
                <w:szCs w:val="20"/>
                <w:lang w:eastAsia="en-GB"/>
              </w:rPr>
              <w:t>84.0%</w:t>
            </w:r>
          </w:p>
        </w:tc>
        <w:tc>
          <w:tcPr>
            <w:tcW w:w="1134" w:type="dxa"/>
            <w:tcBorders>
              <w:top w:val="nil"/>
              <w:left w:val="nil"/>
              <w:bottom w:val="single" w:sz="4" w:space="0" w:color="auto"/>
              <w:right w:val="single" w:sz="4" w:space="0" w:color="auto"/>
            </w:tcBorders>
            <w:shd w:val="clear" w:color="auto" w:fill="auto"/>
            <w:noWrap/>
            <w:vAlign w:val="center"/>
            <w:hideMark/>
          </w:tcPr>
          <w:p w:rsidR="00DA7AF2" w:rsidRPr="00DA7AF2" w:rsidRDefault="00DA7AF2" w:rsidP="00DA7AF2">
            <w:pPr>
              <w:spacing w:after="0" w:line="240" w:lineRule="auto"/>
              <w:jc w:val="center"/>
              <w:rPr>
                <w:rFonts w:ascii="Calibri" w:eastAsia="Times New Roman" w:hAnsi="Calibri" w:cs="Times New Roman"/>
                <w:color w:val="000000"/>
                <w:sz w:val="20"/>
                <w:szCs w:val="20"/>
                <w:lang w:eastAsia="en-GB"/>
              </w:rPr>
            </w:pPr>
            <w:r w:rsidRPr="00DA7AF2">
              <w:rPr>
                <w:rFonts w:ascii="Calibri" w:eastAsia="Times New Roman" w:hAnsi="Calibri" w:cs="Times New Roman"/>
                <w:color w:val="000000"/>
                <w:sz w:val="20"/>
                <w:szCs w:val="20"/>
                <w:lang w:eastAsia="en-GB"/>
              </w:rPr>
              <w:t>9</w:t>
            </w:r>
            <w:r w:rsidR="00B502DC">
              <w:rPr>
                <w:rFonts w:ascii="Calibri" w:eastAsia="Times New Roman" w:hAnsi="Calibri" w:cs="Times New Roman"/>
                <w:color w:val="000000"/>
                <w:sz w:val="20"/>
                <w:szCs w:val="20"/>
                <w:lang w:eastAsia="en-GB"/>
              </w:rPr>
              <w:t>,</w:t>
            </w:r>
            <w:r w:rsidRPr="00DA7AF2">
              <w:rPr>
                <w:rFonts w:ascii="Calibri" w:eastAsia="Times New Roman" w:hAnsi="Calibri" w:cs="Times New Roman"/>
                <w:color w:val="000000"/>
                <w:sz w:val="20"/>
                <w:szCs w:val="20"/>
                <w:lang w:eastAsia="en-GB"/>
              </w:rPr>
              <w:t>245</w:t>
            </w:r>
          </w:p>
        </w:tc>
        <w:tc>
          <w:tcPr>
            <w:tcW w:w="1134" w:type="dxa"/>
            <w:tcBorders>
              <w:top w:val="nil"/>
              <w:left w:val="nil"/>
              <w:bottom w:val="single" w:sz="4" w:space="0" w:color="auto"/>
              <w:right w:val="single" w:sz="4" w:space="0" w:color="auto"/>
            </w:tcBorders>
            <w:shd w:val="clear" w:color="auto" w:fill="auto"/>
            <w:noWrap/>
            <w:vAlign w:val="center"/>
            <w:hideMark/>
          </w:tcPr>
          <w:p w:rsidR="00DA7AF2" w:rsidRPr="00DA7AF2" w:rsidRDefault="00DA7AF2" w:rsidP="00DA7AF2">
            <w:pPr>
              <w:spacing w:after="0" w:line="240" w:lineRule="auto"/>
              <w:jc w:val="center"/>
              <w:rPr>
                <w:rFonts w:ascii="Calibri" w:eastAsia="Times New Roman" w:hAnsi="Calibri" w:cs="Times New Roman"/>
                <w:color w:val="000000"/>
                <w:sz w:val="20"/>
                <w:szCs w:val="20"/>
                <w:lang w:eastAsia="en-GB"/>
              </w:rPr>
            </w:pPr>
            <w:r w:rsidRPr="00DA7AF2">
              <w:rPr>
                <w:rFonts w:ascii="Calibri" w:eastAsia="Times New Roman" w:hAnsi="Calibri" w:cs="Times New Roman"/>
                <w:color w:val="000000"/>
                <w:sz w:val="20"/>
                <w:szCs w:val="20"/>
                <w:lang w:eastAsia="en-GB"/>
              </w:rPr>
              <w:t>85.2%</w:t>
            </w:r>
          </w:p>
        </w:tc>
        <w:tc>
          <w:tcPr>
            <w:tcW w:w="1134" w:type="dxa"/>
            <w:tcBorders>
              <w:top w:val="nil"/>
              <w:left w:val="nil"/>
              <w:bottom w:val="single" w:sz="4" w:space="0" w:color="auto"/>
              <w:right w:val="single" w:sz="4" w:space="0" w:color="auto"/>
            </w:tcBorders>
            <w:shd w:val="clear" w:color="auto" w:fill="auto"/>
            <w:noWrap/>
            <w:vAlign w:val="center"/>
            <w:hideMark/>
          </w:tcPr>
          <w:p w:rsidR="00DA7AF2" w:rsidRPr="00DA7AF2" w:rsidRDefault="00DA7AF2" w:rsidP="00DA7AF2">
            <w:pPr>
              <w:spacing w:after="0" w:line="240" w:lineRule="auto"/>
              <w:jc w:val="center"/>
              <w:rPr>
                <w:rFonts w:ascii="Calibri" w:eastAsia="Times New Roman" w:hAnsi="Calibri" w:cs="Times New Roman"/>
                <w:color w:val="000000"/>
                <w:sz w:val="20"/>
                <w:szCs w:val="20"/>
                <w:lang w:eastAsia="en-GB"/>
              </w:rPr>
            </w:pPr>
            <w:r w:rsidRPr="00DA7AF2">
              <w:rPr>
                <w:rFonts w:ascii="Calibri" w:eastAsia="Times New Roman" w:hAnsi="Calibri" w:cs="Times New Roman"/>
                <w:color w:val="000000"/>
                <w:sz w:val="20"/>
                <w:szCs w:val="20"/>
                <w:lang w:eastAsia="en-GB"/>
              </w:rPr>
              <w:t>6</w:t>
            </w:r>
            <w:r w:rsidR="00B502DC">
              <w:rPr>
                <w:rFonts w:ascii="Calibri" w:eastAsia="Times New Roman" w:hAnsi="Calibri" w:cs="Times New Roman"/>
                <w:color w:val="000000"/>
                <w:sz w:val="20"/>
                <w:szCs w:val="20"/>
                <w:lang w:eastAsia="en-GB"/>
              </w:rPr>
              <w:t>,</w:t>
            </w:r>
            <w:r w:rsidRPr="00DA7AF2">
              <w:rPr>
                <w:rFonts w:ascii="Calibri" w:eastAsia="Times New Roman" w:hAnsi="Calibri" w:cs="Times New Roman"/>
                <w:color w:val="000000"/>
                <w:sz w:val="20"/>
                <w:szCs w:val="20"/>
                <w:lang w:eastAsia="en-GB"/>
              </w:rPr>
              <w:t>710</w:t>
            </w:r>
          </w:p>
        </w:tc>
        <w:tc>
          <w:tcPr>
            <w:tcW w:w="1134" w:type="dxa"/>
            <w:tcBorders>
              <w:top w:val="nil"/>
              <w:left w:val="nil"/>
              <w:bottom w:val="single" w:sz="4" w:space="0" w:color="auto"/>
              <w:right w:val="single" w:sz="4" w:space="0" w:color="auto"/>
            </w:tcBorders>
            <w:shd w:val="clear" w:color="auto" w:fill="auto"/>
            <w:noWrap/>
            <w:vAlign w:val="center"/>
            <w:hideMark/>
          </w:tcPr>
          <w:p w:rsidR="00DA7AF2" w:rsidRPr="00DA7AF2" w:rsidRDefault="00DA7AF2" w:rsidP="00DA7AF2">
            <w:pPr>
              <w:spacing w:after="0" w:line="240" w:lineRule="auto"/>
              <w:jc w:val="center"/>
              <w:rPr>
                <w:rFonts w:ascii="Calibri" w:eastAsia="Times New Roman" w:hAnsi="Calibri" w:cs="Times New Roman"/>
                <w:color w:val="000000"/>
                <w:sz w:val="20"/>
                <w:szCs w:val="20"/>
                <w:lang w:eastAsia="en-GB"/>
              </w:rPr>
            </w:pPr>
            <w:r w:rsidRPr="00DA7AF2">
              <w:rPr>
                <w:rFonts w:ascii="Calibri" w:eastAsia="Times New Roman" w:hAnsi="Calibri" w:cs="Times New Roman"/>
                <w:color w:val="000000"/>
                <w:sz w:val="20"/>
                <w:szCs w:val="20"/>
                <w:lang w:eastAsia="en-GB"/>
              </w:rPr>
              <w:t>83.0%</w:t>
            </w:r>
          </w:p>
        </w:tc>
      </w:tr>
      <w:tr w:rsidR="00DA7AF2" w:rsidRPr="00DA7AF2" w:rsidTr="00DA7AF2">
        <w:trPr>
          <w:trHeight w:val="298"/>
        </w:trPr>
        <w:tc>
          <w:tcPr>
            <w:tcW w:w="1849" w:type="dxa"/>
            <w:tcBorders>
              <w:top w:val="nil"/>
              <w:left w:val="single" w:sz="4" w:space="0" w:color="auto"/>
              <w:bottom w:val="single" w:sz="4" w:space="0" w:color="auto"/>
              <w:right w:val="single" w:sz="4" w:space="0" w:color="auto"/>
            </w:tcBorders>
            <w:shd w:val="clear" w:color="auto" w:fill="auto"/>
            <w:noWrap/>
            <w:vAlign w:val="center"/>
            <w:hideMark/>
          </w:tcPr>
          <w:p w:rsidR="00DA7AF2" w:rsidRPr="00DA7AF2" w:rsidRDefault="00DA7AF2" w:rsidP="00DA7AF2">
            <w:pPr>
              <w:spacing w:after="0" w:line="240" w:lineRule="auto"/>
              <w:rPr>
                <w:rFonts w:ascii="Calibri" w:eastAsia="Times New Roman" w:hAnsi="Calibri" w:cs="Times New Roman"/>
                <w:color w:val="000000"/>
                <w:sz w:val="20"/>
                <w:szCs w:val="20"/>
                <w:lang w:eastAsia="en-GB"/>
              </w:rPr>
            </w:pPr>
            <w:r w:rsidRPr="00DA7AF2">
              <w:rPr>
                <w:rFonts w:ascii="Calibri" w:eastAsia="Times New Roman" w:hAnsi="Calibri" w:cs="Times New Roman"/>
                <w:color w:val="000000"/>
                <w:sz w:val="20"/>
                <w:szCs w:val="20"/>
                <w:lang w:eastAsia="en-GB"/>
              </w:rPr>
              <w:t>Care Leaver</w:t>
            </w:r>
          </w:p>
        </w:tc>
        <w:tc>
          <w:tcPr>
            <w:tcW w:w="1134" w:type="dxa"/>
            <w:tcBorders>
              <w:top w:val="nil"/>
              <w:left w:val="nil"/>
              <w:bottom w:val="single" w:sz="4" w:space="0" w:color="auto"/>
              <w:right w:val="single" w:sz="4" w:space="0" w:color="auto"/>
            </w:tcBorders>
            <w:shd w:val="clear" w:color="auto" w:fill="auto"/>
            <w:noWrap/>
            <w:vAlign w:val="center"/>
            <w:hideMark/>
          </w:tcPr>
          <w:p w:rsidR="00DA7AF2" w:rsidRPr="00DA7AF2" w:rsidRDefault="00DA7AF2" w:rsidP="00DA7AF2">
            <w:pPr>
              <w:spacing w:after="0" w:line="240" w:lineRule="auto"/>
              <w:jc w:val="center"/>
              <w:rPr>
                <w:rFonts w:ascii="Calibri" w:eastAsia="Times New Roman" w:hAnsi="Calibri" w:cs="Times New Roman"/>
                <w:color w:val="000000"/>
                <w:sz w:val="20"/>
                <w:szCs w:val="20"/>
                <w:lang w:eastAsia="en-GB"/>
              </w:rPr>
            </w:pPr>
            <w:r w:rsidRPr="00DA7AF2">
              <w:rPr>
                <w:rFonts w:ascii="Calibri" w:eastAsia="Times New Roman" w:hAnsi="Calibri" w:cs="Times New Roman"/>
                <w:color w:val="000000"/>
                <w:sz w:val="20"/>
                <w:szCs w:val="20"/>
                <w:lang w:eastAsia="en-GB"/>
              </w:rPr>
              <w:t>91</w:t>
            </w:r>
          </w:p>
        </w:tc>
        <w:tc>
          <w:tcPr>
            <w:tcW w:w="1134" w:type="dxa"/>
            <w:tcBorders>
              <w:top w:val="nil"/>
              <w:left w:val="nil"/>
              <w:bottom w:val="single" w:sz="4" w:space="0" w:color="auto"/>
              <w:right w:val="single" w:sz="4" w:space="0" w:color="auto"/>
            </w:tcBorders>
            <w:shd w:val="clear" w:color="auto" w:fill="auto"/>
            <w:noWrap/>
            <w:vAlign w:val="center"/>
            <w:hideMark/>
          </w:tcPr>
          <w:p w:rsidR="00DA7AF2" w:rsidRPr="00DA7AF2" w:rsidRDefault="00DA7AF2" w:rsidP="00DA7AF2">
            <w:pPr>
              <w:spacing w:after="0" w:line="240" w:lineRule="auto"/>
              <w:jc w:val="center"/>
              <w:rPr>
                <w:rFonts w:ascii="Calibri" w:eastAsia="Times New Roman" w:hAnsi="Calibri" w:cs="Times New Roman"/>
                <w:color w:val="000000"/>
                <w:sz w:val="20"/>
                <w:szCs w:val="20"/>
                <w:lang w:eastAsia="en-GB"/>
              </w:rPr>
            </w:pPr>
            <w:r w:rsidRPr="00DA7AF2">
              <w:rPr>
                <w:rFonts w:ascii="Calibri" w:eastAsia="Times New Roman" w:hAnsi="Calibri" w:cs="Times New Roman"/>
                <w:color w:val="000000"/>
                <w:sz w:val="20"/>
                <w:szCs w:val="20"/>
                <w:lang w:eastAsia="en-GB"/>
              </w:rPr>
              <w:t>75.8%</w:t>
            </w:r>
          </w:p>
        </w:tc>
        <w:tc>
          <w:tcPr>
            <w:tcW w:w="1134" w:type="dxa"/>
            <w:tcBorders>
              <w:top w:val="nil"/>
              <w:left w:val="nil"/>
              <w:bottom w:val="single" w:sz="4" w:space="0" w:color="auto"/>
              <w:right w:val="single" w:sz="4" w:space="0" w:color="auto"/>
            </w:tcBorders>
            <w:shd w:val="clear" w:color="auto" w:fill="auto"/>
            <w:noWrap/>
            <w:vAlign w:val="center"/>
            <w:hideMark/>
          </w:tcPr>
          <w:p w:rsidR="00DA7AF2" w:rsidRPr="00DA7AF2" w:rsidRDefault="00DA7AF2" w:rsidP="00DA7AF2">
            <w:pPr>
              <w:spacing w:after="0" w:line="240" w:lineRule="auto"/>
              <w:jc w:val="center"/>
              <w:rPr>
                <w:rFonts w:ascii="Calibri" w:eastAsia="Times New Roman" w:hAnsi="Calibri" w:cs="Times New Roman"/>
                <w:color w:val="000000"/>
                <w:sz w:val="20"/>
                <w:szCs w:val="20"/>
                <w:lang w:eastAsia="en-GB"/>
              </w:rPr>
            </w:pPr>
            <w:r w:rsidRPr="00DA7AF2">
              <w:rPr>
                <w:rFonts w:ascii="Calibri" w:eastAsia="Times New Roman" w:hAnsi="Calibri" w:cs="Times New Roman"/>
                <w:color w:val="000000"/>
                <w:sz w:val="20"/>
                <w:szCs w:val="20"/>
                <w:lang w:eastAsia="en-GB"/>
              </w:rPr>
              <w:t>83</w:t>
            </w:r>
          </w:p>
        </w:tc>
        <w:tc>
          <w:tcPr>
            <w:tcW w:w="1134" w:type="dxa"/>
            <w:tcBorders>
              <w:top w:val="nil"/>
              <w:left w:val="nil"/>
              <w:bottom w:val="single" w:sz="4" w:space="0" w:color="auto"/>
              <w:right w:val="single" w:sz="4" w:space="0" w:color="auto"/>
            </w:tcBorders>
            <w:shd w:val="clear" w:color="auto" w:fill="auto"/>
            <w:noWrap/>
            <w:vAlign w:val="center"/>
            <w:hideMark/>
          </w:tcPr>
          <w:p w:rsidR="00DA7AF2" w:rsidRPr="00DA7AF2" w:rsidRDefault="00DA7AF2" w:rsidP="00DA7AF2">
            <w:pPr>
              <w:spacing w:after="0" w:line="240" w:lineRule="auto"/>
              <w:jc w:val="center"/>
              <w:rPr>
                <w:rFonts w:ascii="Calibri" w:eastAsia="Times New Roman" w:hAnsi="Calibri" w:cs="Times New Roman"/>
                <w:color w:val="000000"/>
                <w:sz w:val="20"/>
                <w:szCs w:val="20"/>
                <w:lang w:eastAsia="en-GB"/>
              </w:rPr>
            </w:pPr>
            <w:r w:rsidRPr="00DA7AF2">
              <w:rPr>
                <w:rFonts w:ascii="Calibri" w:eastAsia="Times New Roman" w:hAnsi="Calibri" w:cs="Times New Roman"/>
                <w:color w:val="000000"/>
                <w:sz w:val="20"/>
                <w:szCs w:val="20"/>
                <w:lang w:eastAsia="en-GB"/>
              </w:rPr>
              <w:t>83.1%</w:t>
            </w:r>
          </w:p>
        </w:tc>
        <w:tc>
          <w:tcPr>
            <w:tcW w:w="1134" w:type="dxa"/>
            <w:tcBorders>
              <w:top w:val="nil"/>
              <w:left w:val="nil"/>
              <w:bottom w:val="single" w:sz="4" w:space="0" w:color="auto"/>
              <w:right w:val="single" w:sz="4" w:space="0" w:color="auto"/>
            </w:tcBorders>
            <w:shd w:val="clear" w:color="auto" w:fill="auto"/>
            <w:noWrap/>
            <w:vAlign w:val="center"/>
            <w:hideMark/>
          </w:tcPr>
          <w:p w:rsidR="00DA7AF2" w:rsidRPr="00DA7AF2" w:rsidRDefault="00DA7AF2" w:rsidP="00DA7AF2">
            <w:pPr>
              <w:spacing w:after="0" w:line="240" w:lineRule="auto"/>
              <w:jc w:val="center"/>
              <w:rPr>
                <w:rFonts w:ascii="Calibri" w:eastAsia="Times New Roman" w:hAnsi="Calibri" w:cs="Times New Roman"/>
                <w:color w:val="000000"/>
                <w:sz w:val="20"/>
                <w:szCs w:val="20"/>
                <w:lang w:eastAsia="en-GB"/>
              </w:rPr>
            </w:pPr>
            <w:r w:rsidRPr="00DA7AF2">
              <w:rPr>
                <w:rFonts w:ascii="Calibri" w:eastAsia="Times New Roman" w:hAnsi="Calibri" w:cs="Times New Roman"/>
                <w:color w:val="000000"/>
                <w:sz w:val="20"/>
                <w:szCs w:val="20"/>
                <w:lang w:eastAsia="en-GB"/>
              </w:rPr>
              <w:t>94</w:t>
            </w:r>
          </w:p>
        </w:tc>
        <w:tc>
          <w:tcPr>
            <w:tcW w:w="1134" w:type="dxa"/>
            <w:tcBorders>
              <w:top w:val="nil"/>
              <w:left w:val="nil"/>
              <w:bottom w:val="single" w:sz="4" w:space="0" w:color="auto"/>
              <w:right w:val="single" w:sz="4" w:space="0" w:color="auto"/>
            </w:tcBorders>
            <w:shd w:val="clear" w:color="auto" w:fill="auto"/>
            <w:noWrap/>
            <w:vAlign w:val="center"/>
            <w:hideMark/>
          </w:tcPr>
          <w:p w:rsidR="00DA7AF2" w:rsidRPr="00DA7AF2" w:rsidRDefault="00DA7AF2" w:rsidP="00DA7AF2">
            <w:pPr>
              <w:spacing w:after="0" w:line="240" w:lineRule="auto"/>
              <w:jc w:val="center"/>
              <w:rPr>
                <w:rFonts w:ascii="Calibri" w:eastAsia="Times New Roman" w:hAnsi="Calibri" w:cs="Times New Roman"/>
                <w:color w:val="000000"/>
                <w:sz w:val="20"/>
                <w:szCs w:val="20"/>
                <w:lang w:eastAsia="en-GB"/>
              </w:rPr>
            </w:pPr>
            <w:r w:rsidRPr="00DA7AF2">
              <w:rPr>
                <w:rFonts w:ascii="Calibri" w:eastAsia="Times New Roman" w:hAnsi="Calibri" w:cs="Times New Roman"/>
                <w:color w:val="000000"/>
                <w:sz w:val="20"/>
                <w:szCs w:val="20"/>
                <w:lang w:eastAsia="en-GB"/>
              </w:rPr>
              <w:t>69.1%</w:t>
            </w:r>
          </w:p>
        </w:tc>
      </w:tr>
      <w:tr w:rsidR="00DA7AF2" w:rsidRPr="00DA7AF2" w:rsidTr="00DA7AF2">
        <w:trPr>
          <w:trHeight w:val="298"/>
        </w:trPr>
        <w:tc>
          <w:tcPr>
            <w:tcW w:w="1849" w:type="dxa"/>
            <w:tcBorders>
              <w:top w:val="nil"/>
              <w:left w:val="single" w:sz="4" w:space="0" w:color="auto"/>
              <w:bottom w:val="single" w:sz="4" w:space="0" w:color="auto"/>
              <w:right w:val="single" w:sz="4" w:space="0" w:color="auto"/>
            </w:tcBorders>
            <w:shd w:val="clear" w:color="000000" w:fill="D9D9D9"/>
            <w:noWrap/>
            <w:vAlign w:val="center"/>
            <w:hideMark/>
          </w:tcPr>
          <w:p w:rsidR="00DA7AF2" w:rsidRPr="00DA7AF2" w:rsidRDefault="00DA7AF2" w:rsidP="00DA7AF2">
            <w:pPr>
              <w:spacing w:after="0" w:line="240" w:lineRule="auto"/>
              <w:rPr>
                <w:rFonts w:ascii="Calibri" w:eastAsia="Times New Roman" w:hAnsi="Calibri" w:cs="Times New Roman"/>
                <w:color w:val="000000"/>
                <w:sz w:val="20"/>
                <w:szCs w:val="20"/>
                <w:lang w:eastAsia="en-GB"/>
              </w:rPr>
            </w:pPr>
            <w:r w:rsidRPr="00DA7AF2">
              <w:rPr>
                <w:rFonts w:ascii="Calibri" w:eastAsia="Times New Roman" w:hAnsi="Calibri" w:cs="Times New Roman"/>
                <w:color w:val="000000"/>
                <w:sz w:val="20"/>
                <w:szCs w:val="20"/>
                <w:lang w:eastAsia="en-GB"/>
              </w:rPr>
              <w:t>GAP</w:t>
            </w:r>
          </w:p>
        </w:tc>
        <w:tc>
          <w:tcPr>
            <w:tcW w:w="1134" w:type="dxa"/>
            <w:tcBorders>
              <w:top w:val="nil"/>
              <w:left w:val="nil"/>
              <w:bottom w:val="single" w:sz="4" w:space="0" w:color="auto"/>
              <w:right w:val="single" w:sz="4" w:space="0" w:color="auto"/>
            </w:tcBorders>
            <w:shd w:val="clear" w:color="000000" w:fill="D9D9D9"/>
            <w:noWrap/>
            <w:vAlign w:val="center"/>
            <w:hideMark/>
          </w:tcPr>
          <w:p w:rsidR="00DA7AF2" w:rsidRPr="00DA7AF2" w:rsidRDefault="00DA7AF2" w:rsidP="00DA7AF2">
            <w:pPr>
              <w:spacing w:after="0" w:line="240" w:lineRule="auto"/>
              <w:jc w:val="center"/>
              <w:rPr>
                <w:rFonts w:ascii="Calibri" w:eastAsia="Times New Roman" w:hAnsi="Calibri" w:cs="Times New Roman"/>
                <w:color w:val="000000"/>
                <w:sz w:val="20"/>
                <w:szCs w:val="20"/>
                <w:lang w:eastAsia="en-GB"/>
              </w:rPr>
            </w:pPr>
          </w:p>
        </w:tc>
        <w:tc>
          <w:tcPr>
            <w:tcW w:w="1134" w:type="dxa"/>
            <w:tcBorders>
              <w:top w:val="nil"/>
              <w:left w:val="nil"/>
              <w:bottom w:val="single" w:sz="4" w:space="0" w:color="auto"/>
              <w:right w:val="single" w:sz="4" w:space="0" w:color="auto"/>
            </w:tcBorders>
            <w:shd w:val="clear" w:color="000000" w:fill="D9D9D9"/>
            <w:noWrap/>
            <w:vAlign w:val="center"/>
            <w:hideMark/>
          </w:tcPr>
          <w:p w:rsidR="00DA7AF2" w:rsidRPr="00DA7AF2" w:rsidRDefault="00DA7AF2" w:rsidP="00DA7AF2">
            <w:pPr>
              <w:spacing w:after="0" w:line="240" w:lineRule="auto"/>
              <w:jc w:val="center"/>
              <w:rPr>
                <w:rFonts w:ascii="Calibri" w:eastAsia="Times New Roman" w:hAnsi="Calibri" w:cs="Times New Roman"/>
                <w:color w:val="000000"/>
                <w:sz w:val="20"/>
                <w:szCs w:val="20"/>
                <w:lang w:eastAsia="en-GB"/>
              </w:rPr>
            </w:pPr>
            <w:r w:rsidRPr="00DA7AF2">
              <w:rPr>
                <w:rFonts w:ascii="Calibri" w:eastAsia="Times New Roman" w:hAnsi="Calibri" w:cs="Times New Roman"/>
                <w:color w:val="000000"/>
                <w:sz w:val="20"/>
                <w:szCs w:val="20"/>
                <w:lang w:eastAsia="en-GB"/>
              </w:rPr>
              <w:t>8.2%</w:t>
            </w:r>
          </w:p>
        </w:tc>
        <w:tc>
          <w:tcPr>
            <w:tcW w:w="1134" w:type="dxa"/>
            <w:tcBorders>
              <w:top w:val="nil"/>
              <w:left w:val="nil"/>
              <w:bottom w:val="single" w:sz="4" w:space="0" w:color="auto"/>
              <w:right w:val="single" w:sz="4" w:space="0" w:color="auto"/>
            </w:tcBorders>
            <w:shd w:val="clear" w:color="000000" w:fill="D9D9D9"/>
            <w:noWrap/>
            <w:vAlign w:val="center"/>
            <w:hideMark/>
          </w:tcPr>
          <w:p w:rsidR="00DA7AF2" w:rsidRPr="00DA7AF2" w:rsidRDefault="00DA7AF2" w:rsidP="00DA7AF2">
            <w:pPr>
              <w:spacing w:after="0" w:line="240" w:lineRule="auto"/>
              <w:jc w:val="center"/>
              <w:rPr>
                <w:rFonts w:ascii="Calibri" w:eastAsia="Times New Roman" w:hAnsi="Calibri" w:cs="Times New Roman"/>
                <w:color w:val="000000"/>
                <w:sz w:val="20"/>
                <w:szCs w:val="20"/>
                <w:lang w:eastAsia="en-GB"/>
              </w:rPr>
            </w:pPr>
          </w:p>
        </w:tc>
        <w:tc>
          <w:tcPr>
            <w:tcW w:w="1134" w:type="dxa"/>
            <w:tcBorders>
              <w:top w:val="nil"/>
              <w:left w:val="nil"/>
              <w:bottom w:val="single" w:sz="4" w:space="0" w:color="auto"/>
              <w:right w:val="single" w:sz="4" w:space="0" w:color="auto"/>
            </w:tcBorders>
            <w:shd w:val="clear" w:color="000000" w:fill="D9D9D9"/>
            <w:noWrap/>
            <w:vAlign w:val="center"/>
            <w:hideMark/>
          </w:tcPr>
          <w:p w:rsidR="00DA7AF2" w:rsidRPr="00DA7AF2" w:rsidRDefault="00DA7AF2" w:rsidP="00DA7AF2">
            <w:pPr>
              <w:spacing w:after="0" w:line="240" w:lineRule="auto"/>
              <w:jc w:val="center"/>
              <w:rPr>
                <w:rFonts w:ascii="Calibri" w:eastAsia="Times New Roman" w:hAnsi="Calibri" w:cs="Times New Roman"/>
                <w:color w:val="000000"/>
                <w:sz w:val="20"/>
                <w:szCs w:val="20"/>
                <w:lang w:eastAsia="en-GB"/>
              </w:rPr>
            </w:pPr>
            <w:r w:rsidRPr="00DA7AF2">
              <w:rPr>
                <w:rFonts w:ascii="Calibri" w:eastAsia="Times New Roman" w:hAnsi="Calibri" w:cs="Times New Roman"/>
                <w:color w:val="000000"/>
                <w:sz w:val="20"/>
                <w:szCs w:val="20"/>
                <w:lang w:eastAsia="en-GB"/>
              </w:rPr>
              <w:t>2.1%</w:t>
            </w:r>
          </w:p>
        </w:tc>
        <w:tc>
          <w:tcPr>
            <w:tcW w:w="1134" w:type="dxa"/>
            <w:tcBorders>
              <w:top w:val="nil"/>
              <w:left w:val="nil"/>
              <w:bottom w:val="single" w:sz="4" w:space="0" w:color="auto"/>
              <w:right w:val="single" w:sz="4" w:space="0" w:color="auto"/>
            </w:tcBorders>
            <w:shd w:val="clear" w:color="000000" w:fill="D9D9D9"/>
            <w:noWrap/>
            <w:vAlign w:val="center"/>
            <w:hideMark/>
          </w:tcPr>
          <w:p w:rsidR="00DA7AF2" w:rsidRPr="00DA7AF2" w:rsidRDefault="00DA7AF2" w:rsidP="00DA7AF2">
            <w:pPr>
              <w:spacing w:after="0" w:line="240" w:lineRule="auto"/>
              <w:jc w:val="center"/>
              <w:rPr>
                <w:rFonts w:ascii="Calibri" w:eastAsia="Times New Roman" w:hAnsi="Calibri" w:cs="Times New Roman"/>
                <w:color w:val="000000"/>
                <w:sz w:val="20"/>
                <w:szCs w:val="20"/>
                <w:lang w:eastAsia="en-GB"/>
              </w:rPr>
            </w:pPr>
          </w:p>
        </w:tc>
        <w:tc>
          <w:tcPr>
            <w:tcW w:w="1134" w:type="dxa"/>
            <w:tcBorders>
              <w:top w:val="nil"/>
              <w:left w:val="nil"/>
              <w:bottom w:val="single" w:sz="4" w:space="0" w:color="auto"/>
              <w:right w:val="single" w:sz="4" w:space="0" w:color="auto"/>
            </w:tcBorders>
            <w:shd w:val="clear" w:color="000000" w:fill="D9D9D9"/>
            <w:noWrap/>
            <w:vAlign w:val="center"/>
            <w:hideMark/>
          </w:tcPr>
          <w:p w:rsidR="00DA7AF2" w:rsidRPr="00DA7AF2" w:rsidRDefault="00DA7AF2" w:rsidP="00DA7AF2">
            <w:pPr>
              <w:spacing w:after="0" w:line="240" w:lineRule="auto"/>
              <w:jc w:val="center"/>
              <w:rPr>
                <w:rFonts w:ascii="Calibri" w:eastAsia="Times New Roman" w:hAnsi="Calibri" w:cs="Times New Roman"/>
                <w:color w:val="000000"/>
                <w:sz w:val="20"/>
                <w:szCs w:val="20"/>
                <w:lang w:eastAsia="en-GB"/>
              </w:rPr>
            </w:pPr>
            <w:r w:rsidRPr="00DA7AF2">
              <w:rPr>
                <w:rFonts w:ascii="Calibri" w:eastAsia="Times New Roman" w:hAnsi="Calibri" w:cs="Times New Roman"/>
                <w:color w:val="000000"/>
                <w:sz w:val="20"/>
                <w:szCs w:val="20"/>
                <w:lang w:eastAsia="en-GB"/>
              </w:rPr>
              <w:t>13.9%</w:t>
            </w:r>
          </w:p>
        </w:tc>
      </w:tr>
    </w:tbl>
    <w:p w:rsidR="00960973" w:rsidRDefault="007276FF" w:rsidP="009640EE">
      <w:pPr>
        <w:spacing w:after="0" w:line="240" w:lineRule="auto"/>
      </w:pPr>
      <w:r>
        <w:t xml:space="preserve">There is a widening achievement gap between students who have been in care and those who have not, from 2.1% to 13.9%.  However, </w:t>
      </w:r>
      <w:r w:rsidR="00960973">
        <w:t xml:space="preserve">with only 35 care leavers </w:t>
      </w:r>
      <w:r>
        <w:t xml:space="preserve">the proportion of students who have been in care </w:t>
      </w:r>
      <w:r w:rsidR="00B502DC">
        <w:t xml:space="preserve">accounts for 1.4% of our </w:t>
      </w:r>
      <w:r w:rsidR="00960973">
        <w:t xml:space="preserve">16-18 </w:t>
      </w:r>
      <w:r w:rsidR="00B502DC">
        <w:t>student cohort in 2017/18, therefore comparisons are statistically sensitive.</w:t>
      </w:r>
      <w:r w:rsidR="00960973">
        <w:t xml:space="preserve"> These students were across a range of courses with no specific patterns emerging.</w:t>
      </w:r>
    </w:p>
    <w:p w:rsidR="00DA7AF2" w:rsidRDefault="00DA7AF2" w:rsidP="009640EE">
      <w:pPr>
        <w:spacing w:after="0" w:line="240" w:lineRule="auto"/>
        <w:rPr>
          <w:b/>
        </w:rPr>
      </w:pPr>
      <w:r>
        <w:rPr>
          <w:b/>
        </w:rPr>
        <w:lastRenderedPageBreak/>
        <w:t>High Needs Students</w:t>
      </w:r>
    </w:p>
    <w:tbl>
      <w:tblPr>
        <w:tblW w:w="8652" w:type="dxa"/>
        <w:tblInd w:w="108" w:type="dxa"/>
        <w:tblLook w:val="04A0" w:firstRow="1" w:lastRow="0" w:firstColumn="1" w:lastColumn="0" w:noHBand="0" w:noVBand="1"/>
      </w:tblPr>
      <w:tblGrid>
        <w:gridCol w:w="1848"/>
        <w:gridCol w:w="1134"/>
        <w:gridCol w:w="1134"/>
        <w:gridCol w:w="1134"/>
        <w:gridCol w:w="1134"/>
        <w:gridCol w:w="1134"/>
        <w:gridCol w:w="1134"/>
      </w:tblGrid>
      <w:tr w:rsidR="00B27CD4" w:rsidRPr="00B27CD4" w:rsidTr="00B27CD4">
        <w:trPr>
          <w:trHeight w:val="300"/>
        </w:trPr>
        <w:tc>
          <w:tcPr>
            <w:tcW w:w="1848" w:type="dxa"/>
            <w:tcBorders>
              <w:top w:val="nil"/>
              <w:left w:val="nil"/>
              <w:right w:val="nil"/>
            </w:tcBorders>
            <w:shd w:val="clear" w:color="auto" w:fill="auto"/>
            <w:noWrap/>
            <w:vAlign w:val="center"/>
            <w:hideMark/>
          </w:tcPr>
          <w:p w:rsidR="00B27CD4" w:rsidRPr="00B27CD4" w:rsidRDefault="00B27CD4" w:rsidP="00B27CD4">
            <w:pPr>
              <w:spacing w:after="0" w:line="240" w:lineRule="auto"/>
              <w:jc w:val="center"/>
              <w:rPr>
                <w:rFonts w:ascii="Calibri" w:eastAsia="Times New Roman" w:hAnsi="Calibri" w:cs="Times New Roman"/>
                <w:color w:val="000000"/>
                <w:sz w:val="20"/>
                <w:szCs w:val="20"/>
                <w:lang w:eastAsia="en-GB"/>
              </w:rPr>
            </w:pPr>
          </w:p>
        </w:tc>
        <w:tc>
          <w:tcPr>
            <w:tcW w:w="2268" w:type="dxa"/>
            <w:gridSpan w:val="2"/>
            <w:tcBorders>
              <w:top w:val="single" w:sz="4" w:space="0" w:color="auto"/>
              <w:left w:val="single" w:sz="4" w:space="0" w:color="auto"/>
              <w:bottom w:val="single" w:sz="4" w:space="0" w:color="auto"/>
              <w:right w:val="single" w:sz="4" w:space="0" w:color="000000"/>
            </w:tcBorders>
            <w:shd w:val="clear" w:color="auto" w:fill="C6D9F1" w:themeFill="text2" w:themeFillTint="33"/>
            <w:noWrap/>
            <w:vAlign w:val="center"/>
            <w:hideMark/>
          </w:tcPr>
          <w:p w:rsidR="00B27CD4" w:rsidRPr="00B502DC" w:rsidRDefault="00B27CD4" w:rsidP="00B27CD4">
            <w:pPr>
              <w:spacing w:after="0" w:line="240" w:lineRule="auto"/>
              <w:jc w:val="center"/>
              <w:rPr>
                <w:rFonts w:ascii="Calibri" w:eastAsia="Times New Roman" w:hAnsi="Calibri" w:cs="Times New Roman"/>
                <w:b/>
                <w:bCs/>
                <w:color w:val="000000"/>
                <w:sz w:val="20"/>
                <w:szCs w:val="20"/>
                <w:lang w:eastAsia="en-GB"/>
              </w:rPr>
            </w:pPr>
            <w:r w:rsidRPr="00B502DC">
              <w:rPr>
                <w:rFonts w:ascii="Calibri" w:eastAsia="Times New Roman" w:hAnsi="Calibri" w:cs="Times New Roman"/>
                <w:b/>
                <w:bCs/>
                <w:color w:val="000000"/>
                <w:sz w:val="20"/>
                <w:szCs w:val="20"/>
                <w:lang w:eastAsia="en-GB"/>
              </w:rPr>
              <w:t>2015/16</w:t>
            </w:r>
          </w:p>
        </w:tc>
        <w:tc>
          <w:tcPr>
            <w:tcW w:w="2268" w:type="dxa"/>
            <w:gridSpan w:val="2"/>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B27CD4" w:rsidRPr="00B502DC" w:rsidRDefault="00B27CD4" w:rsidP="00B27CD4">
            <w:pPr>
              <w:spacing w:after="0" w:line="240" w:lineRule="auto"/>
              <w:jc w:val="center"/>
              <w:rPr>
                <w:rFonts w:ascii="Calibri" w:eastAsia="Times New Roman" w:hAnsi="Calibri" w:cs="Times New Roman"/>
                <w:b/>
                <w:bCs/>
                <w:color w:val="000000"/>
                <w:sz w:val="20"/>
                <w:szCs w:val="20"/>
                <w:lang w:eastAsia="en-GB"/>
              </w:rPr>
            </w:pPr>
            <w:r w:rsidRPr="00B502DC">
              <w:rPr>
                <w:rFonts w:ascii="Calibri" w:eastAsia="Times New Roman" w:hAnsi="Calibri" w:cs="Times New Roman"/>
                <w:b/>
                <w:bCs/>
                <w:color w:val="000000"/>
                <w:sz w:val="20"/>
                <w:szCs w:val="20"/>
                <w:lang w:eastAsia="en-GB"/>
              </w:rPr>
              <w:t>2016/17</w:t>
            </w:r>
          </w:p>
        </w:tc>
        <w:tc>
          <w:tcPr>
            <w:tcW w:w="2268" w:type="dxa"/>
            <w:gridSpan w:val="2"/>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B27CD4" w:rsidRPr="00B502DC" w:rsidRDefault="00B27CD4" w:rsidP="00B27CD4">
            <w:pPr>
              <w:spacing w:after="0" w:line="240" w:lineRule="auto"/>
              <w:jc w:val="center"/>
              <w:rPr>
                <w:rFonts w:ascii="Calibri" w:eastAsia="Times New Roman" w:hAnsi="Calibri" w:cs="Times New Roman"/>
                <w:b/>
                <w:bCs/>
                <w:color w:val="000000"/>
                <w:sz w:val="20"/>
                <w:szCs w:val="20"/>
                <w:lang w:eastAsia="en-GB"/>
              </w:rPr>
            </w:pPr>
            <w:r w:rsidRPr="00B502DC">
              <w:rPr>
                <w:rFonts w:ascii="Calibri" w:eastAsia="Times New Roman" w:hAnsi="Calibri" w:cs="Times New Roman"/>
                <w:b/>
                <w:bCs/>
                <w:color w:val="000000"/>
                <w:sz w:val="20"/>
                <w:szCs w:val="20"/>
                <w:lang w:eastAsia="en-GB"/>
              </w:rPr>
              <w:t>2017/18</w:t>
            </w:r>
          </w:p>
        </w:tc>
      </w:tr>
      <w:tr w:rsidR="00B27CD4" w:rsidRPr="00B27CD4" w:rsidTr="00B27CD4">
        <w:trPr>
          <w:trHeight w:val="300"/>
        </w:trPr>
        <w:tc>
          <w:tcPr>
            <w:tcW w:w="1848" w:type="dxa"/>
            <w:tcBorders>
              <w:bottom w:val="single" w:sz="4" w:space="0" w:color="auto"/>
              <w:right w:val="single" w:sz="4" w:space="0" w:color="auto"/>
            </w:tcBorders>
            <w:shd w:val="clear" w:color="auto" w:fill="auto"/>
            <w:noWrap/>
            <w:vAlign w:val="center"/>
          </w:tcPr>
          <w:p w:rsidR="00B27CD4" w:rsidRPr="00B27CD4" w:rsidRDefault="00B27CD4" w:rsidP="00B27CD4">
            <w:pPr>
              <w:spacing w:after="0" w:line="240" w:lineRule="auto"/>
              <w:jc w:val="center"/>
              <w:rPr>
                <w:rFonts w:ascii="Calibri" w:eastAsia="Times New Roman" w:hAnsi="Calibri" w:cs="Times New Roman"/>
                <w:b/>
                <w:bCs/>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B27CD4" w:rsidRPr="00B502DC" w:rsidRDefault="00B502DC" w:rsidP="00B27CD4">
            <w:pPr>
              <w:spacing w:after="0" w:line="240" w:lineRule="auto"/>
              <w:jc w:val="center"/>
              <w:rPr>
                <w:rFonts w:ascii="Calibri" w:eastAsia="Times New Roman" w:hAnsi="Calibri" w:cs="Times New Roman"/>
                <w:b/>
                <w:bCs/>
                <w:color w:val="000000"/>
                <w:sz w:val="20"/>
                <w:szCs w:val="20"/>
                <w:lang w:eastAsia="en-GB"/>
              </w:rPr>
            </w:pPr>
            <w:r w:rsidRPr="00B502DC">
              <w:rPr>
                <w:rFonts w:ascii="Calibri" w:eastAsia="Times New Roman" w:hAnsi="Calibri" w:cs="Times New Roman"/>
                <w:b/>
                <w:bCs/>
                <w:color w:val="000000"/>
                <w:sz w:val="20"/>
                <w:szCs w:val="20"/>
                <w:lang w:eastAsia="en-GB"/>
              </w:rPr>
              <w:t>Enrols</w:t>
            </w:r>
          </w:p>
        </w:tc>
        <w:tc>
          <w:tcPr>
            <w:tcW w:w="1134" w:type="dxa"/>
            <w:tcBorders>
              <w:top w:val="nil"/>
              <w:left w:val="nil"/>
              <w:bottom w:val="single" w:sz="4" w:space="0" w:color="auto"/>
              <w:right w:val="single" w:sz="4" w:space="0" w:color="auto"/>
            </w:tcBorders>
            <w:shd w:val="clear" w:color="auto" w:fill="C6D9F1" w:themeFill="text2" w:themeFillTint="33"/>
            <w:noWrap/>
            <w:vAlign w:val="center"/>
            <w:hideMark/>
          </w:tcPr>
          <w:p w:rsidR="00B27CD4" w:rsidRPr="00B502DC" w:rsidRDefault="00B27CD4" w:rsidP="00B27CD4">
            <w:pPr>
              <w:spacing w:after="0" w:line="240" w:lineRule="auto"/>
              <w:jc w:val="center"/>
              <w:rPr>
                <w:rFonts w:ascii="Calibri" w:eastAsia="Times New Roman" w:hAnsi="Calibri" w:cs="Times New Roman"/>
                <w:b/>
                <w:bCs/>
                <w:color w:val="000000"/>
                <w:sz w:val="20"/>
                <w:szCs w:val="20"/>
                <w:lang w:eastAsia="en-GB"/>
              </w:rPr>
            </w:pPr>
            <w:r w:rsidRPr="00B502DC">
              <w:rPr>
                <w:rFonts w:ascii="Calibri" w:eastAsia="Times New Roman" w:hAnsi="Calibri" w:cs="Times New Roman"/>
                <w:b/>
                <w:bCs/>
                <w:color w:val="000000"/>
                <w:sz w:val="20"/>
                <w:szCs w:val="20"/>
                <w:lang w:eastAsia="en-GB"/>
              </w:rPr>
              <w:t>Ach</w:t>
            </w:r>
          </w:p>
        </w:tc>
        <w:tc>
          <w:tcPr>
            <w:tcW w:w="1134" w:type="dxa"/>
            <w:tcBorders>
              <w:top w:val="nil"/>
              <w:left w:val="nil"/>
              <w:bottom w:val="single" w:sz="4" w:space="0" w:color="auto"/>
              <w:right w:val="single" w:sz="4" w:space="0" w:color="auto"/>
            </w:tcBorders>
            <w:shd w:val="clear" w:color="auto" w:fill="C6D9F1" w:themeFill="text2" w:themeFillTint="33"/>
            <w:noWrap/>
            <w:vAlign w:val="center"/>
            <w:hideMark/>
          </w:tcPr>
          <w:p w:rsidR="00B27CD4" w:rsidRPr="00B502DC" w:rsidRDefault="00B502DC" w:rsidP="00B27CD4">
            <w:pPr>
              <w:spacing w:after="0" w:line="240" w:lineRule="auto"/>
              <w:jc w:val="center"/>
              <w:rPr>
                <w:rFonts w:ascii="Calibri" w:eastAsia="Times New Roman" w:hAnsi="Calibri" w:cs="Times New Roman"/>
                <w:b/>
                <w:bCs/>
                <w:color w:val="000000"/>
                <w:sz w:val="20"/>
                <w:szCs w:val="20"/>
                <w:lang w:eastAsia="en-GB"/>
              </w:rPr>
            </w:pPr>
            <w:r w:rsidRPr="00B502DC">
              <w:rPr>
                <w:rFonts w:ascii="Calibri" w:eastAsia="Times New Roman" w:hAnsi="Calibri" w:cs="Times New Roman"/>
                <w:b/>
                <w:bCs/>
                <w:color w:val="000000"/>
                <w:sz w:val="20"/>
                <w:szCs w:val="20"/>
                <w:lang w:eastAsia="en-GB"/>
              </w:rPr>
              <w:t>Enrols</w:t>
            </w:r>
          </w:p>
        </w:tc>
        <w:tc>
          <w:tcPr>
            <w:tcW w:w="1134" w:type="dxa"/>
            <w:tcBorders>
              <w:top w:val="nil"/>
              <w:left w:val="nil"/>
              <w:bottom w:val="single" w:sz="4" w:space="0" w:color="auto"/>
              <w:right w:val="single" w:sz="4" w:space="0" w:color="auto"/>
            </w:tcBorders>
            <w:shd w:val="clear" w:color="auto" w:fill="C6D9F1" w:themeFill="text2" w:themeFillTint="33"/>
            <w:noWrap/>
            <w:vAlign w:val="center"/>
            <w:hideMark/>
          </w:tcPr>
          <w:p w:rsidR="00B27CD4" w:rsidRPr="00B502DC" w:rsidRDefault="00B27CD4" w:rsidP="00B27CD4">
            <w:pPr>
              <w:spacing w:after="0" w:line="240" w:lineRule="auto"/>
              <w:jc w:val="center"/>
              <w:rPr>
                <w:rFonts w:ascii="Calibri" w:eastAsia="Times New Roman" w:hAnsi="Calibri" w:cs="Times New Roman"/>
                <w:b/>
                <w:bCs/>
                <w:color w:val="000000"/>
                <w:sz w:val="20"/>
                <w:szCs w:val="20"/>
                <w:lang w:eastAsia="en-GB"/>
              </w:rPr>
            </w:pPr>
            <w:r w:rsidRPr="00B502DC">
              <w:rPr>
                <w:rFonts w:ascii="Calibri" w:eastAsia="Times New Roman" w:hAnsi="Calibri" w:cs="Times New Roman"/>
                <w:b/>
                <w:bCs/>
                <w:color w:val="000000"/>
                <w:sz w:val="20"/>
                <w:szCs w:val="20"/>
                <w:lang w:eastAsia="en-GB"/>
              </w:rPr>
              <w:t>Ach</w:t>
            </w:r>
          </w:p>
        </w:tc>
        <w:tc>
          <w:tcPr>
            <w:tcW w:w="1134" w:type="dxa"/>
            <w:tcBorders>
              <w:top w:val="nil"/>
              <w:left w:val="nil"/>
              <w:bottom w:val="single" w:sz="4" w:space="0" w:color="auto"/>
              <w:right w:val="single" w:sz="4" w:space="0" w:color="auto"/>
            </w:tcBorders>
            <w:shd w:val="clear" w:color="auto" w:fill="C6D9F1" w:themeFill="text2" w:themeFillTint="33"/>
            <w:noWrap/>
            <w:vAlign w:val="center"/>
            <w:hideMark/>
          </w:tcPr>
          <w:p w:rsidR="00B27CD4" w:rsidRPr="00B502DC" w:rsidRDefault="00B502DC" w:rsidP="00B27CD4">
            <w:pPr>
              <w:spacing w:after="0" w:line="240" w:lineRule="auto"/>
              <w:jc w:val="center"/>
              <w:rPr>
                <w:rFonts w:ascii="Calibri" w:eastAsia="Times New Roman" w:hAnsi="Calibri" w:cs="Times New Roman"/>
                <w:b/>
                <w:bCs/>
                <w:color w:val="000000"/>
                <w:sz w:val="20"/>
                <w:szCs w:val="20"/>
                <w:lang w:eastAsia="en-GB"/>
              </w:rPr>
            </w:pPr>
            <w:r w:rsidRPr="00B502DC">
              <w:rPr>
                <w:rFonts w:ascii="Calibri" w:eastAsia="Times New Roman" w:hAnsi="Calibri" w:cs="Times New Roman"/>
                <w:b/>
                <w:bCs/>
                <w:color w:val="000000"/>
                <w:sz w:val="20"/>
                <w:szCs w:val="20"/>
                <w:lang w:eastAsia="en-GB"/>
              </w:rPr>
              <w:t>Enrols</w:t>
            </w:r>
          </w:p>
        </w:tc>
        <w:tc>
          <w:tcPr>
            <w:tcW w:w="1134" w:type="dxa"/>
            <w:tcBorders>
              <w:top w:val="nil"/>
              <w:left w:val="nil"/>
              <w:bottom w:val="single" w:sz="4" w:space="0" w:color="auto"/>
              <w:right w:val="single" w:sz="4" w:space="0" w:color="auto"/>
            </w:tcBorders>
            <w:shd w:val="clear" w:color="auto" w:fill="C6D9F1" w:themeFill="text2" w:themeFillTint="33"/>
            <w:noWrap/>
            <w:vAlign w:val="center"/>
            <w:hideMark/>
          </w:tcPr>
          <w:p w:rsidR="00B27CD4" w:rsidRPr="00B502DC" w:rsidRDefault="00B27CD4" w:rsidP="00B27CD4">
            <w:pPr>
              <w:spacing w:after="0" w:line="240" w:lineRule="auto"/>
              <w:jc w:val="center"/>
              <w:rPr>
                <w:rFonts w:ascii="Calibri" w:eastAsia="Times New Roman" w:hAnsi="Calibri" w:cs="Times New Roman"/>
                <w:b/>
                <w:bCs/>
                <w:color w:val="000000"/>
                <w:sz w:val="20"/>
                <w:szCs w:val="20"/>
                <w:lang w:eastAsia="en-GB"/>
              </w:rPr>
            </w:pPr>
            <w:r w:rsidRPr="00B502DC">
              <w:rPr>
                <w:rFonts w:ascii="Calibri" w:eastAsia="Times New Roman" w:hAnsi="Calibri" w:cs="Times New Roman"/>
                <w:b/>
                <w:bCs/>
                <w:color w:val="000000"/>
                <w:sz w:val="20"/>
                <w:szCs w:val="20"/>
                <w:lang w:eastAsia="en-GB"/>
              </w:rPr>
              <w:t>Ach</w:t>
            </w:r>
          </w:p>
        </w:tc>
      </w:tr>
      <w:tr w:rsidR="00B27CD4" w:rsidRPr="00B27CD4" w:rsidTr="00B27CD4">
        <w:trPr>
          <w:trHeight w:val="300"/>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CD4" w:rsidRPr="00B27CD4" w:rsidRDefault="00B27CD4" w:rsidP="00B27CD4">
            <w:pPr>
              <w:spacing w:after="0" w:line="240" w:lineRule="auto"/>
              <w:rPr>
                <w:rFonts w:ascii="Calibri" w:eastAsia="Times New Roman" w:hAnsi="Calibri" w:cs="Times New Roman"/>
                <w:color w:val="000000"/>
                <w:sz w:val="20"/>
                <w:szCs w:val="20"/>
                <w:lang w:eastAsia="en-GB"/>
              </w:rPr>
            </w:pPr>
            <w:r w:rsidRPr="00B27CD4">
              <w:rPr>
                <w:rFonts w:ascii="Calibri" w:eastAsia="Times New Roman" w:hAnsi="Calibri" w:cs="Times New Roman"/>
                <w:color w:val="000000"/>
                <w:sz w:val="20"/>
                <w:szCs w:val="20"/>
                <w:lang w:eastAsia="en-GB"/>
              </w:rPr>
              <w:t>High Needs</w:t>
            </w:r>
          </w:p>
        </w:tc>
        <w:tc>
          <w:tcPr>
            <w:tcW w:w="1134" w:type="dxa"/>
            <w:tcBorders>
              <w:top w:val="nil"/>
              <w:left w:val="nil"/>
              <w:bottom w:val="single" w:sz="4" w:space="0" w:color="auto"/>
              <w:right w:val="single" w:sz="4" w:space="0" w:color="auto"/>
            </w:tcBorders>
            <w:shd w:val="clear" w:color="auto" w:fill="auto"/>
            <w:noWrap/>
            <w:vAlign w:val="center"/>
            <w:hideMark/>
          </w:tcPr>
          <w:p w:rsidR="00B27CD4" w:rsidRPr="00B27CD4" w:rsidRDefault="00B27CD4" w:rsidP="00B27CD4">
            <w:pPr>
              <w:spacing w:after="0" w:line="240" w:lineRule="auto"/>
              <w:jc w:val="center"/>
              <w:rPr>
                <w:rFonts w:ascii="Calibri" w:eastAsia="Times New Roman" w:hAnsi="Calibri" w:cs="Times New Roman"/>
                <w:color w:val="000000"/>
                <w:sz w:val="20"/>
                <w:szCs w:val="20"/>
                <w:lang w:eastAsia="en-GB"/>
              </w:rPr>
            </w:pPr>
            <w:r w:rsidRPr="00B27CD4">
              <w:rPr>
                <w:rFonts w:ascii="Calibri" w:eastAsia="Times New Roman" w:hAnsi="Calibri" w:cs="Times New Roman"/>
                <w:color w:val="000000"/>
                <w:sz w:val="20"/>
                <w:szCs w:val="20"/>
                <w:lang w:eastAsia="en-GB"/>
              </w:rPr>
              <w:t>141</w:t>
            </w:r>
          </w:p>
        </w:tc>
        <w:tc>
          <w:tcPr>
            <w:tcW w:w="1134" w:type="dxa"/>
            <w:tcBorders>
              <w:top w:val="nil"/>
              <w:left w:val="nil"/>
              <w:bottom w:val="single" w:sz="4" w:space="0" w:color="auto"/>
              <w:right w:val="single" w:sz="4" w:space="0" w:color="auto"/>
            </w:tcBorders>
            <w:shd w:val="clear" w:color="auto" w:fill="auto"/>
            <w:noWrap/>
            <w:vAlign w:val="center"/>
            <w:hideMark/>
          </w:tcPr>
          <w:p w:rsidR="00B27CD4" w:rsidRPr="00B27CD4" w:rsidRDefault="00B27CD4" w:rsidP="00B27CD4">
            <w:pPr>
              <w:spacing w:after="0" w:line="240" w:lineRule="auto"/>
              <w:jc w:val="center"/>
              <w:rPr>
                <w:rFonts w:ascii="Calibri" w:eastAsia="Times New Roman" w:hAnsi="Calibri" w:cs="Times New Roman"/>
                <w:color w:val="000000"/>
                <w:sz w:val="20"/>
                <w:szCs w:val="20"/>
                <w:lang w:eastAsia="en-GB"/>
              </w:rPr>
            </w:pPr>
            <w:r w:rsidRPr="00B27CD4">
              <w:rPr>
                <w:rFonts w:ascii="Calibri" w:eastAsia="Times New Roman" w:hAnsi="Calibri" w:cs="Times New Roman"/>
                <w:color w:val="000000"/>
                <w:sz w:val="20"/>
                <w:szCs w:val="20"/>
                <w:lang w:eastAsia="en-GB"/>
              </w:rPr>
              <w:t>91.5%</w:t>
            </w:r>
          </w:p>
        </w:tc>
        <w:tc>
          <w:tcPr>
            <w:tcW w:w="1134" w:type="dxa"/>
            <w:tcBorders>
              <w:top w:val="nil"/>
              <w:left w:val="nil"/>
              <w:bottom w:val="single" w:sz="4" w:space="0" w:color="auto"/>
              <w:right w:val="single" w:sz="4" w:space="0" w:color="auto"/>
            </w:tcBorders>
            <w:shd w:val="clear" w:color="auto" w:fill="auto"/>
            <w:noWrap/>
            <w:vAlign w:val="center"/>
            <w:hideMark/>
          </w:tcPr>
          <w:p w:rsidR="00B27CD4" w:rsidRPr="00B27CD4" w:rsidRDefault="00B27CD4" w:rsidP="00B27CD4">
            <w:pPr>
              <w:spacing w:after="0" w:line="240" w:lineRule="auto"/>
              <w:jc w:val="center"/>
              <w:rPr>
                <w:rFonts w:ascii="Calibri" w:eastAsia="Times New Roman" w:hAnsi="Calibri" w:cs="Times New Roman"/>
                <w:color w:val="000000"/>
                <w:sz w:val="20"/>
                <w:szCs w:val="20"/>
                <w:lang w:eastAsia="en-GB"/>
              </w:rPr>
            </w:pPr>
            <w:r w:rsidRPr="00B27CD4">
              <w:rPr>
                <w:rFonts w:ascii="Calibri" w:eastAsia="Times New Roman" w:hAnsi="Calibri" w:cs="Times New Roman"/>
                <w:color w:val="000000"/>
                <w:sz w:val="20"/>
                <w:szCs w:val="20"/>
                <w:lang w:eastAsia="en-GB"/>
              </w:rPr>
              <w:t>199</w:t>
            </w:r>
          </w:p>
        </w:tc>
        <w:tc>
          <w:tcPr>
            <w:tcW w:w="1134" w:type="dxa"/>
            <w:tcBorders>
              <w:top w:val="nil"/>
              <w:left w:val="nil"/>
              <w:bottom w:val="single" w:sz="4" w:space="0" w:color="auto"/>
              <w:right w:val="single" w:sz="4" w:space="0" w:color="auto"/>
            </w:tcBorders>
            <w:shd w:val="clear" w:color="auto" w:fill="auto"/>
            <w:noWrap/>
            <w:vAlign w:val="center"/>
            <w:hideMark/>
          </w:tcPr>
          <w:p w:rsidR="00B27CD4" w:rsidRPr="00B27CD4" w:rsidRDefault="00B27CD4" w:rsidP="00B27CD4">
            <w:pPr>
              <w:spacing w:after="0" w:line="240" w:lineRule="auto"/>
              <w:jc w:val="center"/>
              <w:rPr>
                <w:rFonts w:ascii="Calibri" w:eastAsia="Times New Roman" w:hAnsi="Calibri" w:cs="Times New Roman"/>
                <w:color w:val="000000"/>
                <w:sz w:val="20"/>
                <w:szCs w:val="20"/>
                <w:lang w:eastAsia="en-GB"/>
              </w:rPr>
            </w:pPr>
            <w:r w:rsidRPr="00B27CD4">
              <w:rPr>
                <w:rFonts w:ascii="Calibri" w:eastAsia="Times New Roman" w:hAnsi="Calibri" w:cs="Times New Roman"/>
                <w:color w:val="000000"/>
                <w:sz w:val="20"/>
                <w:szCs w:val="20"/>
                <w:lang w:eastAsia="en-GB"/>
              </w:rPr>
              <w:t>88.9%</w:t>
            </w:r>
          </w:p>
        </w:tc>
        <w:tc>
          <w:tcPr>
            <w:tcW w:w="1134" w:type="dxa"/>
            <w:tcBorders>
              <w:top w:val="nil"/>
              <w:left w:val="nil"/>
              <w:bottom w:val="single" w:sz="4" w:space="0" w:color="auto"/>
              <w:right w:val="single" w:sz="4" w:space="0" w:color="auto"/>
            </w:tcBorders>
            <w:shd w:val="clear" w:color="auto" w:fill="auto"/>
            <w:noWrap/>
            <w:vAlign w:val="center"/>
            <w:hideMark/>
          </w:tcPr>
          <w:p w:rsidR="00B27CD4" w:rsidRPr="00B27CD4" w:rsidRDefault="00B27CD4" w:rsidP="00B27CD4">
            <w:pPr>
              <w:spacing w:after="0" w:line="240" w:lineRule="auto"/>
              <w:jc w:val="center"/>
              <w:rPr>
                <w:rFonts w:ascii="Calibri" w:eastAsia="Times New Roman" w:hAnsi="Calibri" w:cs="Times New Roman"/>
                <w:color w:val="000000"/>
                <w:sz w:val="20"/>
                <w:szCs w:val="20"/>
                <w:lang w:eastAsia="en-GB"/>
              </w:rPr>
            </w:pPr>
            <w:r w:rsidRPr="00B27CD4">
              <w:rPr>
                <w:rFonts w:ascii="Calibri" w:eastAsia="Times New Roman" w:hAnsi="Calibri" w:cs="Times New Roman"/>
                <w:color w:val="000000"/>
                <w:sz w:val="20"/>
                <w:szCs w:val="20"/>
                <w:lang w:eastAsia="en-GB"/>
              </w:rPr>
              <w:t>121</w:t>
            </w:r>
          </w:p>
        </w:tc>
        <w:tc>
          <w:tcPr>
            <w:tcW w:w="1134" w:type="dxa"/>
            <w:tcBorders>
              <w:top w:val="nil"/>
              <w:left w:val="nil"/>
              <w:bottom w:val="single" w:sz="4" w:space="0" w:color="auto"/>
              <w:right w:val="single" w:sz="4" w:space="0" w:color="auto"/>
            </w:tcBorders>
            <w:shd w:val="clear" w:color="auto" w:fill="auto"/>
            <w:noWrap/>
            <w:vAlign w:val="center"/>
            <w:hideMark/>
          </w:tcPr>
          <w:p w:rsidR="00B27CD4" w:rsidRPr="00B27CD4" w:rsidRDefault="00B27CD4" w:rsidP="00B27CD4">
            <w:pPr>
              <w:spacing w:after="0" w:line="240" w:lineRule="auto"/>
              <w:jc w:val="center"/>
              <w:rPr>
                <w:rFonts w:ascii="Calibri" w:eastAsia="Times New Roman" w:hAnsi="Calibri" w:cs="Times New Roman"/>
                <w:color w:val="000000"/>
                <w:sz w:val="20"/>
                <w:szCs w:val="20"/>
                <w:lang w:eastAsia="en-GB"/>
              </w:rPr>
            </w:pPr>
            <w:r w:rsidRPr="00B27CD4">
              <w:rPr>
                <w:rFonts w:ascii="Calibri" w:eastAsia="Times New Roman" w:hAnsi="Calibri" w:cs="Times New Roman"/>
                <w:color w:val="000000"/>
                <w:sz w:val="20"/>
                <w:szCs w:val="20"/>
                <w:lang w:eastAsia="en-GB"/>
              </w:rPr>
              <w:t>85.1%</w:t>
            </w:r>
          </w:p>
        </w:tc>
      </w:tr>
      <w:tr w:rsidR="00B27CD4" w:rsidRPr="00B27CD4" w:rsidTr="00B27CD4">
        <w:trPr>
          <w:trHeight w:val="30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B27CD4" w:rsidRPr="00B27CD4" w:rsidRDefault="00B27CD4" w:rsidP="00B27CD4">
            <w:pPr>
              <w:spacing w:after="0" w:line="240" w:lineRule="auto"/>
              <w:rPr>
                <w:rFonts w:ascii="Calibri" w:eastAsia="Times New Roman" w:hAnsi="Calibri" w:cs="Times New Roman"/>
                <w:color w:val="000000"/>
                <w:sz w:val="20"/>
                <w:szCs w:val="20"/>
                <w:lang w:eastAsia="en-GB"/>
              </w:rPr>
            </w:pPr>
            <w:r w:rsidRPr="00B27CD4">
              <w:rPr>
                <w:rFonts w:ascii="Calibri" w:eastAsia="Times New Roman" w:hAnsi="Calibri" w:cs="Times New Roman"/>
                <w:color w:val="000000"/>
                <w:sz w:val="20"/>
                <w:szCs w:val="20"/>
                <w:lang w:eastAsia="en-GB"/>
              </w:rPr>
              <w:t>Not High Needs</w:t>
            </w:r>
          </w:p>
        </w:tc>
        <w:tc>
          <w:tcPr>
            <w:tcW w:w="1134" w:type="dxa"/>
            <w:tcBorders>
              <w:top w:val="nil"/>
              <w:left w:val="nil"/>
              <w:bottom w:val="single" w:sz="4" w:space="0" w:color="auto"/>
              <w:right w:val="single" w:sz="4" w:space="0" w:color="auto"/>
            </w:tcBorders>
            <w:shd w:val="clear" w:color="auto" w:fill="auto"/>
            <w:noWrap/>
            <w:vAlign w:val="center"/>
            <w:hideMark/>
          </w:tcPr>
          <w:p w:rsidR="00B27CD4" w:rsidRPr="00B27CD4" w:rsidRDefault="00B27CD4" w:rsidP="00B27CD4">
            <w:pPr>
              <w:spacing w:after="0" w:line="240" w:lineRule="auto"/>
              <w:jc w:val="center"/>
              <w:rPr>
                <w:rFonts w:ascii="Calibri" w:eastAsia="Times New Roman" w:hAnsi="Calibri" w:cs="Times New Roman"/>
                <w:color w:val="000000"/>
                <w:sz w:val="20"/>
                <w:szCs w:val="20"/>
                <w:lang w:eastAsia="en-GB"/>
              </w:rPr>
            </w:pPr>
            <w:r w:rsidRPr="00B27CD4">
              <w:rPr>
                <w:rFonts w:ascii="Calibri" w:eastAsia="Times New Roman" w:hAnsi="Calibri" w:cs="Times New Roman"/>
                <w:color w:val="000000"/>
                <w:sz w:val="20"/>
                <w:szCs w:val="20"/>
                <w:lang w:eastAsia="en-GB"/>
              </w:rPr>
              <w:t>8</w:t>
            </w:r>
            <w:r>
              <w:rPr>
                <w:rFonts w:ascii="Calibri" w:eastAsia="Times New Roman" w:hAnsi="Calibri" w:cs="Times New Roman"/>
                <w:color w:val="000000"/>
                <w:sz w:val="20"/>
                <w:szCs w:val="20"/>
                <w:lang w:eastAsia="en-GB"/>
              </w:rPr>
              <w:t>,</w:t>
            </w:r>
            <w:r w:rsidRPr="00B27CD4">
              <w:rPr>
                <w:rFonts w:ascii="Calibri" w:eastAsia="Times New Roman" w:hAnsi="Calibri" w:cs="Times New Roman"/>
                <w:color w:val="000000"/>
                <w:sz w:val="20"/>
                <w:szCs w:val="20"/>
                <w:lang w:eastAsia="en-GB"/>
              </w:rPr>
              <w:t>695</w:t>
            </w:r>
          </w:p>
        </w:tc>
        <w:tc>
          <w:tcPr>
            <w:tcW w:w="1134" w:type="dxa"/>
            <w:tcBorders>
              <w:top w:val="nil"/>
              <w:left w:val="nil"/>
              <w:bottom w:val="single" w:sz="4" w:space="0" w:color="auto"/>
              <w:right w:val="single" w:sz="4" w:space="0" w:color="auto"/>
            </w:tcBorders>
            <w:shd w:val="clear" w:color="auto" w:fill="auto"/>
            <w:noWrap/>
            <w:vAlign w:val="center"/>
            <w:hideMark/>
          </w:tcPr>
          <w:p w:rsidR="00B27CD4" w:rsidRPr="00B27CD4" w:rsidRDefault="00B27CD4" w:rsidP="00B27CD4">
            <w:pPr>
              <w:spacing w:after="0" w:line="240" w:lineRule="auto"/>
              <w:jc w:val="center"/>
              <w:rPr>
                <w:rFonts w:ascii="Calibri" w:eastAsia="Times New Roman" w:hAnsi="Calibri" w:cs="Times New Roman"/>
                <w:color w:val="000000"/>
                <w:sz w:val="20"/>
                <w:szCs w:val="20"/>
                <w:lang w:eastAsia="en-GB"/>
              </w:rPr>
            </w:pPr>
            <w:r w:rsidRPr="00B27CD4">
              <w:rPr>
                <w:rFonts w:ascii="Calibri" w:eastAsia="Times New Roman" w:hAnsi="Calibri" w:cs="Times New Roman"/>
                <w:color w:val="000000"/>
                <w:sz w:val="20"/>
                <w:szCs w:val="20"/>
                <w:lang w:eastAsia="en-GB"/>
              </w:rPr>
              <w:t>82.9%</w:t>
            </w:r>
          </w:p>
        </w:tc>
        <w:tc>
          <w:tcPr>
            <w:tcW w:w="1134" w:type="dxa"/>
            <w:tcBorders>
              <w:top w:val="nil"/>
              <w:left w:val="nil"/>
              <w:bottom w:val="single" w:sz="4" w:space="0" w:color="auto"/>
              <w:right w:val="single" w:sz="4" w:space="0" w:color="auto"/>
            </w:tcBorders>
            <w:shd w:val="clear" w:color="auto" w:fill="auto"/>
            <w:noWrap/>
            <w:vAlign w:val="center"/>
            <w:hideMark/>
          </w:tcPr>
          <w:p w:rsidR="00B27CD4" w:rsidRPr="00B27CD4" w:rsidRDefault="00B27CD4" w:rsidP="00B27CD4">
            <w:pPr>
              <w:spacing w:after="0" w:line="240" w:lineRule="auto"/>
              <w:jc w:val="center"/>
              <w:rPr>
                <w:rFonts w:ascii="Calibri" w:eastAsia="Times New Roman" w:hAnsi="Calibri" w:cs="Times New Roman"/>
                <w:color w:val="000000"/>
                <w:sz w:val="20"/>
                <w:szCs w:val="20"/>
                <w:lang w:eastAsia="en-GB"/>
              </w:rPr>
            </w:pPr>
            <w:r w:rsidRPr="00B27CD4">
              <w:rPr>
                <w:rFonts w:ascii="Calibri" w:eastAsia="Times New Roman" w:hAnsi="Calibri" w:cs="Times New Roman"/>
                <w:color w:val="000000"/>
                <w:sz w:val="20"/>
                <w:szCs w:val="20"/>
                <w:lang w:eastAsia="en-GB"/>
              </w:rPr>
              <w:t>9</w:t>
            </w:r>
            <w:r>
              <w:rPr>
                <w:rFonts w:ascii="Calibri" w:eastAsia="Times New Roman" w:hAnsi="Calibri" w:cs="Times New Roman"/>
                <w:color w:val="000000"/>
                <w:sz w:val="20"/>
                <w:szCs w:val="20"/>
                <w:lang w:eastAsia="en-GB"/>
              </w:rPr>
              <w:t>,</w:t>
            </w:r>
            <w:r w:rsidRPr="00B27CD4">
              <w:rPr>
                <w:rFonts w:ascii="Calibri" w:eastAsia="Times New Roman" w:hAnsi="Calibri" w:cs="Times New Roman"/>
                <w:color w:val="000000"/>
                <w:sz w:val="20"/>
                <w:szCs w:val="20"/>
                <w:lang w:eastAsia="en-GB"/>
              </w:rPr>
              <w:t>229</w:t>
            </w:r>
          </w:p>
        </w:tc>
        <w:tc>
          <w:tcPr>
            <w:tcW w:w="1134" w:type="dxa"/>
            <w:tcBorders>
              <w:top w:val="nil"/>
              <w:left w:val="nil"/>
              <w:bottom w:val="single" w:sz="4" w:space="0" w:color="auto"/>
              <w:right w:val="single" w:sz="4" w:space="0" w:color="auto"/>
            </w:tcBorders>
            <w:shd w:val="clear" w:color="auto" w:fill="auto"/>
            <w:noWrap/>
            <w:vAlign w:val="center"/>
            <w:hideMark/>
          </w:tcPr>
          <w:p w:rsidR="00B27CD4" w:rsidRPr="00B27CD4" w:rsidRDefault="00B27CD4" w:rsidP="00B27CD4">
            <w:pPr>
              <w:spacing w:after="0" w:line="240" w:lineRule="auto"/>
              <w:jc w:val="center"/>
              <w:rPr>
                <w:rFonts w:ascii="Calibri" w:eastAsia="Times New Roman" w:hAnsi="Calibri" w:cs="Times New Roman"/>
                <w:color w:val="000000"/>
                <w:sz w:val="20"/>
                <w:szCs w:val="20"/>
                <w:lang w:eastAsia="en-GB"/>
              </w:rPr>
            </w:pPr>
            <w:r w:rsidRPr="00B27CD4">
              <w:rPr>
                <w:rFonts w:ascii="Calibri" w:eastAsia="Times New Roman" w:hAnsi="Calibri" w:cs="Times New Roman"/>
                <w:color w:val="000000"/>
                <w:sz w:val="20"/>
                <w:szCs w:val="20"/>
                <w:lang w:eastAsia="en-GB"/>
              </w:rPr>
              <w:t>85.0%</w:t>
            </w:r>
          </w:p>
        </w:tc>
        <w:tc>
          <w:tcPr>
            <w:tcW w:w="1134" w:type="dxa"/>
            <w:tcBorders>
              <w:top w:val="nil"/>
              <w:left w:val="nil"/>
              <w:bottom w:val="single" w:sz="4" w:space="0" w:color="auto"/>
              <w:right w:val="single" w:sz="4" w:space="0" w:color="auto"/>
            </w:tcBorders>
            <w:shd w:val="clear" w:color="auto" w:fill="auto"/>
            <w:noWrap/>
            <w:vAlign w:val="center"/>
            <w:hideMark/>
          </w:tcPr>
          <w:p w:rsidR="00B27CD4" w:rsidRPr="00B27CD4" w:rsidRDefault="00B27CD4" w:rsidP="00B27CD4">
            <w:pPr>
              <w:spacing w:after="0" w:line="240" w:lineRule="auto"/>
              <w:jc w:val="center"/>
              <w:rPr>
                <w:rFonts w:ascii="Calibri" w:eastAsia="Times New Roman" w:hAnsi="Calibri" w:cs="Times New Roman"/>
                <w:color w:val="000000"/>
                <w:sz w:val="20"/>
                <w:szCs w:val="20"/>
                <w:lang w:eastAsia="en-GB"/>
              </w:rPr>
            </w:pPr>
            <w:r w:rsidRPr="00B27CD4">
              <w:rPr>
                <w:rFonts w:ascii="Calibri" w:eastAsia="Times New Roman" w:hAnsi="Calibri" w:cs="Times New Roman"/>
                <w:color w:val="000000"/>
                <w:sz w:val="20"/>
                <w:szCs w:val="20"/>
                <w:lang w:eastAsia="en-GB"/>
              </w:rPr>
              <w:t>6</w:t>
            </w:r>
            <w:r>
              <w:rPr>
                <w:rFonts w:ascii="Calibri" w:eastAsia="Times New Roman" w:hAnsi="Calibri" w:cs="Times New Roman"/>
                <w:color w:val="000000"/>
                <w:sz w:val="20"/>
                <w:szCs w:val="20"/>
                <w:lang w:eastAsia="en-GB"/>
              </w:rPr>
              <w:t>,</w:t>
            </w:r>
            <w:r w:rsidRPr="00B27CD4">
              <w:rPr>
                <w:rFonts w:ascii="Calibri" w:eastAsia="Times New Roman" w:hAnsi="Calibri" w:cs="Times New Roman"/>
                <w:color w:val="000000"/>
                <w:sz w:val="20"/>
                <w:szCs w:val="20"/>
                <w:lang w:eastAsia="en-GB"/>
              </w:rPr>
              <w:t>683</w:t>
            </w:r>
          </w:p>
        </w:tc>
        <w:tc>
          <w:tcPr>
            <w:tcW w:w="1134" w:type="dxa"/>
            <w:tcBorders>
              <w:top w:val="nil"/>
              <w:left w:val="nil"/>
              <w:bottom w:val="single" w:sz="4" w:space="0" w:color="auto"/>
              <w:right w:val="single" w:sz="4" w:space="0" w:color="auto"/>
            </w:tcBorders>
            <w:shd w:val="clear" w:color="auto" w:fill="auto"/>
            <w:noWrap/>
            <w:vAlign w:val="center"/>
            <w:hideMark/>
          </w:tcPr>
          <w:p w:rsidR="00B27CD4" w:rsidRPr="00B27CD4" w:rsidRDefault="00B27CD4" w:rsidP="00B27CD4">
            <w:pPr>
              <w:spacing w:after="0" w:line="240" w:lineRule="auto"/>
              <w:jc w:val="center"/>
              <w:rPr>
                <w:rFonts w:ascii="Calibri" w:eastAsia="Times New Roman" w:hAnsi="Calibri" w:cs="Times New Roman"/>
                <w:color w:val="000000"/>
                <w:sz w:val="20"/>
                <w:szCs w:val="20"/>
                <w:lang w:eastAsia="en-GB"/>
              </w:rPr>
            </w:pPr>
            <w:r w:rsidRPr="00B27CD4">
              <w:rPr>
                <w:rFonts w:ascii="Calibri" w:eastAsia="Times New Roman" w:hAnsi="Calibri" w:cs="Times New Roman"/>
                <w:color w:val="000000"/>
                <w:sz w:val="20"/>
                <w:szCs w:val="20"/>
                <w:lang w:eastAsia="en-GB"/>
              </w:rPr>
              <w:t>82.7%</w:t>
            </w:r>
          </w:p>
        </w:tc>
      </w:tr>
      <w:tr w:rsidR="00B27CD4" w:rsidRPr="00B27CD4" w:rsidTr="00B27CD4">
        <w:trPr>
          <w:trHeight w:val="300"/>
        </w:trPr>
        <w:tc>
          <w:tcPr>
            <w:tcW w:w="1848" w:type="dxa"/>
            <w:tcBorders>
              <w:top w:val="nil"/>
              <w:left w:val="single" w:sz="4" w:space="0" w:color="auto"/>
              <w:bottom w:val="single" w:sz="4" w:space="0" w:color="auto"/>
              <w:right w:val="single" w:sz="4" w:space="0" w:color="auto"/>
            </w:tcBorders>
            <w:shd w:val="clear" w:color="000000" w:fill="D9D9D9"/>
            <w:noWrap/>
            <w:vAlign w:val="center"/>
            <w:hideMark/>
          </w:tcPr>
          <w:p w:rsidR="00B27CD4" w:rsidRPr="00B27CD4" w:rsidRDefault="00B27CD4" w:rsidP="00B27CD4">
            <w:pPr>
              <w:spacing w:after="0" w:line="240" w:lineRule="auto"/>
              <w:rPr>
                <w:rFonts w:ascii="Calibri" w:eastAsia="Times New Roman" w:hAnsi="Calibri" w:cs="Times New Roman"/>
                <w:color w:val="000000"/>
                <w:sz w:val="20"/>
                <w:szCs w:val="20"/>
                <w:lang w:eastAsia="en-GB"/>
              </w:rPr>
            </w:pPr>
            <w:r w:rsidRPr="00B27CD4">
              <w:rPr>
                <w:rFonts w:ascii="Calibri" w:eastAsia="Times New Roman" w:hAnsi="Calibri" w:cs="Times New Roman"/>
                <w:color w:val="000000"/>
                <w:sz w:val="20"/>
                <w:szCs w:val="20"/>
                <w:lang w:eastAsia="en-GB"/>
              </w:rPr>
              <w:t>GAP</w:t>
            </w:r>
          </w:p>
        </w:tc>
        <w:tc>
          <w:tcPr>
            <w:tcW w:w="1134" w:type="dxa"/>
            <w:tcBorders>
              <w:top w:val="nil"/>
              <w:left w:val="nil"/>
              <w:bottom w:val="single" w:sz="4" w:space="0" w:color="auto"/>
              <w:right w:val="single" w:sz="4" w:space="0" w:color="auto"/>
            </w:tcBorders>
            <w:shd w:val="clear" w:color="000000" w:fill="D9D9D9"/>
            <w:noWrap/>
            <w:vAlign w:val="center"/>
            <w:hideMark/>
          </w:tcPr>
          <w:p w:rsidR="00B27CD4" w:rsidRPr="00B27CD4" w:rsidRDefault="00B27CD4" w:rsidP="00B27CD4">
            <w:pPr>
              <w:spacing w:after="0" w:line="240" w:lineRule="auto"/>
              <w:jc w:val="center"/>
              <w:rPr>
                <w:rFonts w:ascii="Calibri" w:eastAsia="Times New Roman" w:hAnsi="Calibri" w:cs="Times New Roman"/>
                <w:color w:val="000000"/>
                <w:sz w:val="20"/>
                <w:szCs w:val="20"/>
                <w:lang w:eastAsia="en-GB"/>
              </w:rPr>
            </w:pPr>
            <w:r w:rsidRPr="00B27CD4">
              <w:rPr>
                <w:rFonts w:ascii="Calibri" w:eastAsia="Times New Roman" w:hAnsi="Calibri" w:cs="Times New Roman"/>
                <w:color w:val="000000"/>
                <w:sz w:val="20"/>
                <w:szCs w:val="20"/>
                <w:lang w:eastAsia="en-GB"/>
              </w:rPr>
              <w:t>8</w:t>
            </w:r>
            <w:r>
              <w:rPr>
                <w:rFonts w:ascii="Calibri" w:eastAsia="Times New Roman" w:hAnsi="Calibri" w:cs="Times New Roman"/>
                <w:color w:val="000000"/>
                <w:sz w:val="20"/>
                <w:szCs w:val="20"/>
                <w:lang w:eastAsia="en-GB"/>
              </w:rPr>
              <w:t>,</w:t>
            </w:r>
            <w:r w:rsidRPr="00B27CD4">
              <w:rPr>
                <w:rFonts w:ascii="Calibri" w:eastAsia="Times New Roman" w:hAnsi="Calibri" w:cs="Times New Roman"/>
                <w:color w:val="000000"/>
                <w:sz w:val="20"/>
                <w:szCs w:val="20"/>
                <w:lang w:eastAsia="en-GB"/>
              </w:rPr>
              <w:t>554</w:t>
            </w:r>
          </w:p>
        </w:tc>
        <w:tc>
          <w:tcPr>
            <w:tcW w:w="1134" w:type="dxa"/>
            <w:tcBorders>
              <w:top w:val="nil"/>
              <w:left w:val="nil"/>
              <w:bottom w:val="single" w:sz="4" w:space="0" w:color="auto"/>
              <w:right w:val="single" w:sz="4" w:space="0" w:color="auto"/>
            </w:tcBorders>
            <w:shd w:val="clear" w:color="000000" w:fill="D9D9D9"/>
            <w:noWrap/>
            <w:vAlign w:val="center"/>
            <w:hideMark/>
          </w:tcPr>
          <w:p w:rsidR="00B27CD4" w:rsidRPr="00B27CD4" w:rsidRDefault="00B27CD4" w:rsidP="00B27CD4">
            <w:pPr>
              <w:spacing w:after="0" w:line="240" w:lineRule="auto"/>
              <w:jc w:val="center"/>
              <w:rPr>
                <w:rFonts w:ascii="Calibri" w:eastAsia="Times New Roman" w:hAnsi="Calibri" w:cs="Times New Roman"/>
                <w:color w:val="000000"/>
                <w:sz w:val="20"/>
                <w:szCs w:val="20"/>
                <w:lang w:eastAsia="en-GB"/>
              </w:rPr>
            </w:pPr>
            <w:r w:rsidRPr="00B27CD4">
              <w:rPr>
                <w:rFonts w:ascii="Calibri" w:eastAsia="Times New Roman" w:hAnsi="Calibri" w:cs="Times New Roman"/>
                <w:color w:val="000000"/>
                <w:sz w:val="20"/>
                <w:szCs w:val="20"/>
                <w:lang w:eastAsia="en-GB"/>
              </w:rPr>
              <w:t>8.6%</w:t>
            </w:r>
          </w:p>
        </w:tc>
        <w:tc>
          <w:tcPr>
            <w:tcW w:w="1134" w:type="dxa"/>
            <w:tcBorders>
              <w:top w:val="nil"/>
              <w:left w:val="nil"/>
              <w:bottom w:val="single" w:sz="4" w:space="0" w:color="auto"/>
              <w:right w:val="single" w:sz="4" w:space="0" w:color="auto"/>
            </w:tcBorders>
            <w:shd w:val="clear" w:color="000000" w:fill="D9D9D9"/>
            <w:noWrap/>
            <w:vAlign w:val="center"/>
            <w:hideMark/>
          </w:tcPr>
          <w:p w:rsidR="00B27CD4" w:rsidRPr="00B27CD4" w:rsidRDefault="00B27CD4" w:rsidP="00B27CD4">
            <w:pPr>
              <w:spacing w:after="0" w:line="240" w:lineRule="auto"/>
              <w:jc w:val="center"/>
              <w:rPr>
                <w:rFonts w:ascii="Calibri" w:eastAsia="Times New Roman" w:hAnsi="Calibri" w:cs="Times New Roman"/>
                <w:color w:val="000000"/>
                <w:sz w:val="20"/>
                <w:szCs w:val="20"/>
                <w:lang w:eastAsia="en-GB"/>
              </w:rPr>
            </w:pPr>
            <w:r w:rsidRPr="00B27CD4">
              <w:rPr>
                <w:rFonts w:ascii="Calibri" w:eastAsia="Times New Roman" w:hAnsi="Calibri" w:cs="Times New Roman"/>
                <w:color w:val="000000"/>
                <w:sz w:val="20"/>
                <w:szCs w:val="20"/>
                <w:lang w:eastAsia="en-GB"/>
              </w:rPr>
              <w:t>9</w:t>
            </w:r>
            <w:r>
              <w:rPr>
                <w:rFonts w:ascii="Calibri" w:eastAsia="Times New Roman" w:hAnsi="Calibri" w:cs="Times New Roman"/>
                <w:color w:val="000000"/>
                <w:sz w:val="20"/>
                <w:szCs w:val="20"/>
                <w:lang w:eastAsia="en-GB"/>
              </w:rPr>
              <w:t>,</w:t>
            </w:r>
            <w:r w:rsidRPr="00B27CD4">
              <w:rPr>
                <w:rFonts w:ascii="Calibri" w:eastAsia="Times New Roman" w:hAnsi="Calibri" w:cs="Times New Roman"/>
                <w:color w:val="000000"/>
                <w:sz w:val="20"/>
                <w:szCs w:val="20"/>
                <w:lang w:eastAsia="en-GB"/>
              </w:rPr>
              <w:t>030</w:t>
            </w:r>
          </w:p>
        </w:tc>
        <w:tc>
          <w:tcPr>
            <w:tcW w:w="1134" w:type="dxa"/>
            <w:tcBorders>
              <w:top w:val="nil"/>
              <w:left w:val="nil"/>
              <w:bottom w:val="single" w:sz="4" w:space="0" w:color="auto"/>
              <w:right w:val="single" w:sz="4" w:space="0" w:color="auto"/>
            </w:tcBorders>
            <w:shd w:val="clear" w:color="000000" w:fill="D9D9D9"/>
            <w:noWrap/>
            <w:vAlign w:val="center"/>
            <w:hideMark/>
          </w:tcPr>
          <w:p w:rsidR="00B27CD4" w:rsidRPr="00B27CD4" w:rsidRDefault="00B27CD4" w:rsidP="00B27CD4">
            <w:pPr>
              <w:spacing w:after="0" w:line="240" w:lineRule="auto"/>
              <w:jc w:val="center"/>
              <w:rPr>
                <w:rFonts w:ascii="Calibri" w:eastAsia="Times New Roman" w:hAnsi="Calibri" w:cs="Times New Roman"/>
                <w:color w:val="000000"/>
                <w:sz w:val="20"/>
                <w:szCs w:val="20"/>
                <w:lang w:eastAsia="en-GB"/>
              </w:rPr>
            </w:pPr>
            <w:r w:rsidRPr="00B27CD4">
              <w:rPr>
                <w:rFonts w:ascii="Calibri" w:eastAsia="Times New Roman" w:hAnsi="Calibri" w:cs="Times New Roman"/>
                <w:color w:val="000000"/>
                <w:sz w:val="20"/>
                <w:szCs w:val="20"/>
                <w:lang w:eastAsia="en-GB"/>
              </w:rPr>
              <w:t>3.9%</w:t>
            </w:r>
          </w:p>
        </w:tc>
        <w:tc>
          <w:tcPr>
            <w:tcW w:w="1134" w:type="dxa"/>
            <w:tcBorders>
              <w:top w:val="nil"/>
              <w:left w:val="nil"/>
              <w:bottom w:val="single" w:sz="4" w:space="0" w:color="auto"/>
              <w:right w:val="single" w:sz="4" w:space="0" w:color="auto"/>
            </w:tcBorders>
            <w:shd w:val="clear" w:color="000000" w:fill="D9D9D9"/>
            <w:noWrap/>
            <w:vAlign w:val="center"/>
            <w:hideMark/>
          </w:tcPr>
          <w:p w:rsidR="00B27CD4" w:rsidRPr="00B27CD4" w:rsidRDefault="00B27CD4" w:rsidP="00B27CD4">
            <w:pPr>
              <w:spacing w:after="0" w:line="240" w:lineRule="auto"/>
              <w:jc w:val="center"/>
              <w:rPr>
                <w:rFonts w:ascii="Calibri" w:eastAsia="Times New Roman" w:hAnsi="Calibri" w:cs="Times New Roman"/>
                <w:color w:val="000000"/>
                <w:sz w:val="20"/>
                <w:szCs w:val="20"/>
                <w:lang w:eastAsia="en-GB"/>
              </w:rPr>
            </w:pPr>
            <w:r w:rsidRPr="00B27CD4">
              <w:rPr>
                <w:rFonts w:ascii="Calibri" w:eastAsia="Times New Roman" w:hAnsi="Calibri" w:cs="Times New Roman"/>
                <w:color w:val="000000"/>
                <w:sz w:val="20"/>
                <w:szCs w:val="20"/>
                <w:lang w:eastAsia="en-GB"/>
              </w:rPr>
              <w:t>6</w:t>
            </w:r>
            <w:r>
              <w:rPr>
                <w:rFonts w:ascii="Calibri" w:eastAsia="Times New Roman" w:hAnsi="Calibri" w:cs="Times New Roman"/>
                <w:color w:val="000000"/>
                <w:sz w:val="20"/>
                <w:szCs w:val="20"/>
                <w:lang w:eastAsia="en-GB"/>
              </w:rPr>
              <w:t>,</w:t>
            </w:r>
            <w:r w:rsidRPr="00B27CD4">
              <w:rPr>
                <w:rFonts w:ascii="Calibri" w:eastAsia="Times New Roman" w:hAnsi="Calibri" w:cs="Times New Roman"/>
                <w:color w:val="000000"/>
                <w:sz w:val="20"/>
                <w:szCs w:val="20"/>
                <w:lang w:eastAsia="en-GB"/>
              </w:rPr>
              <w:t>5</w:t>
            </w:r>
            <w:r>
              <w:rPr>
                <w:rFonts w:ascii="Calibri" w:eastAsia="Times New Roman" w:hAnsi="Calibri" w:cs="Times New Roman"/>
                <w:color w:val="000000"/>
                <w:sz w:val="20"/>
                <w:szCs w:val="20"/>
                <w:lang w:eastAsia="en-GB"/>
              </w:rPr>
              <w:t>97</w:t>
            </w:r>
          </w:p>
        </w:tc>
        <w:tc>
          <w:tcPr>
            <w:tcW w:w="1134" w:type="dxa"/>
            <w:tcBorders>
              <w:top w:val="nil"/>
              <w:left w:val="nil"/>
              <w:bottom w:val="single" w:sz="4" w:space="0" w:color="auto"/>
              <w:right w:val="single" w:sz="4" w:space="0" w:color="auto"/>
            </w:tcBorders>
            <w:shd w:val="clear" w:color="000000" w:fill="D9D9D9"/>
            <w:noWrap/>
            <w:vAlign w:val="center"/>
            <w:hideMark/>
          </w:tcPr>
          <w:p w:rsidR="00B27CD4" w:rsidRPr="00B27CD4" w:rsidRDefault="00B27CD4" w:rsidP="00B27CD4">
            <w:pPr>
              <w:spacing w:after="0" w:line="240" w:lineRule="auto"/>
              <w:jc w:val="center"/>
              <w:rPr>
                <w:rFonts w:ascii="Calibri" w:eastAsia="Times New Roman" w:hAnsi="Calibri" w:cs="Times New Roman"/>
                <w:color w:val="000000"/>
                <w:sz w:val="20"/>
                <w:szCs w:val="20"/>
                <w:lang w:eastAsia="en-GB"/>
              </w:rPr>
            </w:pPr>
            <w:r w:rsidRPr="00B27CD4">
              <w:rPr>
                <w:rFonts w:ascii="Calibri" w:eastAsia="Times New Roman" w:hAnsi="Calibri" w:cs="Times New Roman"/>
                <w:color w:val="000000"/>
                <w:sz w:val="20"/>
                <w:szCs w:val="20"/>
                <w:lang w:eastAsia="en-GB"/>
              </w:rPr>
              <w:t>2.4%</w:t>
            </w:r>
          </w:p>
        </w:tc>
      </w:tr>
    </w:tbl>
    <w:p w:rsidR="00DA7AF2" w:rsidRDefault="00DA7AF2" w:rsidP="009640EE">
      <w:pPr>
        <w:spacing w:after="0" w:line="240" w:lineRule="auto"/>
        <w:rPr>
          <w:b/>
        </w:rPr>
      </w:pPr>
    </w:p>
    <w:p w:rsidR="00B502DC" w:rsidRPr="00B502DC" w:rsidRDefault="00B502DC" w:rsidP="009640EE">
      <w:pPr>
        <w:spacing w:after="0" w:line="240" w:lineRule="auto"/>
      </w:pPr>
      <w:r w:rsidRPr="00B502DC">
        <w:t>The achie</w:t>
      </w:r>
      <w:r>
        <w:t>vement gap between students with high needs and those without has narrowed significantly since 2015/16.</w:t>
      </w:r>
      <w:r w:rsidR="00960973">
        <w:t xml:space="preserve"> There were 79 high needs students in 2017/18 compared to 55 the previous year.</w:t>
      </w:r>
    </w:p>
    <w:p w:rsidR="00E52619" w:rsidRPr="00B502DC" w:rsidRDefault="00E52619" w:rsidP="009640EE">
      <w:pPr>
        <w:spacing w:after="0" w:line="240" w:lineRule="auto"/>
      </w:pPr>
    </w:p>
    <w:p w:rsidR="00EF70C3" w:rsidRDefault="00EF70C3" w:rsidP="009640EE">
      <w:pPr>
        <w:spacing w:after="0" w:line="240" w:lineRule="auto"/>
        <w:rPr>
          <w:b/>
        </w:rPr>
      </w:pPr>
      <w:r>
        <w:rPr>
          <w:b/>
        </w:rPr>
        <w:t>Students in Receipt of Disadvantage Funding</w:t>
      </w:r>
    </w:p>
    <w:p w:rsidR="00DA0248" w:rsidRDefault="00DA0248" w:rsidP="009640EE">
      <w:pPr>
        <w:spacing w:after="0" w:line="240" w:lineRule="auto"/>
        <w:rPr>
          <w:b/>
        </w:rPr>
      </w:pPr>
    </w:p>
    <w:tbl>
      <w:tblPr>
        <w:tblW w:w="4628" w:type="dxa"/>
        <w:tblInd w:w="93" w:type="dxa"/>
        <w:tblLook w:val="04A0" w:firstRow="1" w:lastRow="0" w:firstColumn="1" w:lastColumn="0" w:noHBand="0" w:noVBand="1"/>
      </w:tblPr>
      <w:tblGrid>
        <w:gridCol w:w="2360"/>
        <w:gridCol w:w="1134"/>
        <w:gridCol w:w="1134"/>
      </w:tblGrid>
      <w:tr w:rsidR="00EF70C3" w:rsidRPr="00EF70C3" w:rsidTr="009B110C">
        <w:trPr>
          <w:trHeight w:val="300"/>
        </w:trPr>
        <w:tc>
          <w:tcPr>
            <w:tcW w:w="2360" w:type="dxa"/>
            <w:tcBorders>
              <w:top w:val="nil"/>
              <w:left w:val="nil"/>
              <w:bottom w:val="nil"/>
              <w:right w:val="nil"/>
            </w:tcBorders>
            <w:shd w:val="clear" w:color="auto" w:fill="auto"/>
            <w:noWrap/>
            <w:vAlign w:val="center"/>
            <w:hideMark/>
          </w:tcPr>
          <w:p w:rsidR="00EF70C3" w:rsidRPr="00EF70C3" w:rsidRDefault="00EF70C3" w:rsidP="00EF70C3">
            <w:pPr>
              <w:spacing w:after="0" w:line="240" w:lineRule="auto"/>
              <w:rPr>
                <w:rFonts w:ascii="Calibri" w:eastAsia="Times New Roman" w:hAnsi="Calibri" w:cs="Times New Roman"/>
                <w:color w:val="000000"/>
                <w:sz w:val="20"/>
                <w:szCs w:val="20"/>
                <w:lang w:eastAsia="en-GB"/>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EF70C3" w:rsidRPr="00B502DC" w:rsidRDefault="00EF70C3" w:rsidP="00EF70C3">
            <w:pPr>
              <w:spacing w:after="0" w:line="240" w:lineRule="auto"/>
              <w:jc w:val="center"/>
              <w:rPr>
                <w:rFonts w:ascii="Calibri" w:eastAsia="Times New Roman" w:hAnsi="Calibri" w:cs="Times New Roman"/>
                <w:b/>
                <w:color w:val="000000"/>
                <w:sz w:val="20"/>
                <w:szCs w:val="20"/>
                <w:lang w:eastAsia="en-GB"/>
              </w:rPr>
            </w:pPr>
            <w:r w:rsidRPr="00B502DC">
              <w:rPr>
                <w:rFonts w:ascii="Calibri" w:eastAsia="Times New Roman" w:hAnsi="Calibri" w:cs="Times New Roman"/>
                <w:b/>
                <w:color w:val="000000"/>
                <w:sz w:val="20"/>
                <w:szCs w:val="20"/>
                <w:lang w:eastAsia="en-GB"/>
              </w:rPr>
              <w:t>2017/18</w:t>
            </w:r>
          </w:p>
        </w:tc>
      </w:tr>
      <w:tr w:rsidR="00EF70C3" w:rsidRPr="00EF70C3" w:rsidTr="009B110C">
        <w:trPr>
          <w:trHeight w:val="300"/>
        </w:trPr>
        <w:tc>
          <w:tcPr>
            <w:tcW w:w="2360" w:type="dxa"/>
            <w:tcBorders>
              <w:top w:val="nil"/>
              <w:left w:val="nil"/>
              <w:bottom w:val="nil"/>
              <w:right w:val="nil"/>
            </w:tcBorders>
            <w:shd w:val="clear" w:color="auto" w:fill="auto"/>
            <w:noWrap/>
            <w:vAlign w:val="center"/>
            <w:hideMark/>
          </w:tcPr>
          <w:p w:rsidR="00EF70C3" w:rsidRPr="00EF70C3" w:rsidRDefault="00EF70C3" w:rsidP="00EF70C3">
            <w:pPr>
              <w:spacing w:after="0" w:line="240" w:lineRule="auto"/>
              <w:rPr>
                <w:rFonts w:ascii="Calibri" w:eastAsia="Times New Roman" w:hAnsi="Calibri" w:cs="Times New Roman"/>
                <w:color w:val="000000"/>
                <w:sz w:val="20"/>
                <w:szCs w:val="20"/>
                <w:lang w:eastAsia="en-GB"/>
              </w:rPr>
            </w:pPr>
          </w:p>
        </w:tc>
        <w:tc>
          <w:tcPr>
            <w:tcW w:w="1134"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EF70C3" w:rsidRPr="00B502DC" w:rsidRDefault="00B502DC" w:rsidP="00EF70C3">
            <w:pPr>
              <w:spacing w:after="0" w:line="240" w:lineRule="auto"/>
              <w:jc w:val="center"/>
              <w:rPr>
                <w:rFonts w:ascii="Calibri" w:eastAsia="Times New Roman" w:hAnsi="Calibri" w:cs="Times New Roman"/>
                <w:b/>
                <w:color w:val="000000"/>
                <w:sz w:val="20"/>
                <w:szCs w:val="20"/>
                <w:lang w:eastAsia="en-GB"/>
              </w:rPr>
            </w:pPr>
            <w:r w:rsidRPr="00B502DC">
              <w:rPr>
                <w:rFonts w:ascii="Calibri" w:eastAsia="Times New Roman" w:hAnsi="Calibri" w:cs="Times New Roman"/>
                <w:b/>
                <w:color w:val="000000"/>
                <w:sz w:val="20"/>
                <w:szCs w:val="20"/>
                <w:lang w:eastAsia="en-GB"/>
              </w:rPr>
              <w:t>Enrols</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EF70C3" w:rsidRPr="00B502DC" w:rsidRDefault="00EF70C3" w:rsidP="00EF70C3">
            <w:pPr>
              <w:spacing w:after="0" w:line="240" w:lineRule="auto"/>
              <w:jc w:val="center"/>
              <w:rPr>
                <w:rFonts w:ascii="Calibri" w:eastAsia="Times New Roman" w:hAnsi="Calibri" w:cs="Times New Roman"/>
                <w:b/>
                <w:color w:val="000000"/>
                <w:sz w:val="20"/>
                <w:szCs w:val="20"/>
                <w:lang w:eastAsia="en-GB"/>
              </w:rPr>
            </w:pPr>
            <w:r w:rsidRPr="00B502DC">
              <w:rPr>
                <w:rFonts w:ascii="Calibri" w:eastAsia="Times New Roman" w:hAnsi="Calibri" w:cs="Times New Roman"/>
                <w:b/>
                <w:color w:val="000000"/>
                <w:sz w:val="20"/>
                <w:szCs w:val="20"/>
                <w:lang w:eastAsia="en-GB"/>
              </w:rPr>
              <w:t>Ach</w:t>
            </w:r>
          </w:p>
        </w:tc>
      </w:tr>
      <w:tr w:rsidR="00EF70C3" w:rsidRPr="00EF70C3" w:rsidTr="009B110C">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0C3" w:rsidRPr="00EF70C3" w:rsidRDefault="00EF70C3" w:rsidP="00EF70C3">
            <w:pPr>
              <w:spacing w:after="0" w:line="240" w:lineRule="auto"/>
              <w:rPr>
                <w:rFonts w:ascii="Calibri" w:eastAsia="Times New Roman" w:hAnsi="Calibri" w:cs="Times New Roman"/>
                <w:color w:val="000000"/>
                <w:sz w:val="20"/>
                <w:szCs w:val="20"/>
                <w:lang w:eastAsia="en-GB"/>
              </w:rPr>
            </w:pPr>
            <w:r w:rsidRPr="00EF70C3">
              <w:rPr>
                <w:rFonts w:ascii="Calibri" w:eastAsia="Times New Roman" w:hAnsi="Calibri" w:cs="Times New Roman"/>
                <w:color w:val="000000"/>
                <w:sz w:val="20"/>
                <w:szCs w:val="20"/>
                <w:lang w:eastAsia="en-GB"/>
              </w:rPr>
              <w:t>Disadvantaged Uplift</w:t>
            </w:r>
          </w:p>
        </w:tc>
        <w:tc>
          <w:tcPr>
            <w:tcW w:w="1134" w:type="dxa"/>
            <w:tcBorders>
              <w:top w:val="nil"/>
              <w:left w:val="nil"/>
              <w:bottom w:val="single" w:sz="4" w:space="0" w:color="auto"/>
              <w:right w:val="single" w:sz="4" w:space="0" w:color="auto"/>
            </w:tcBorders>
            <w:shd w:val="clear" w:color="auto" w:fill="auto"/>
            <w:noWrap/>
            <w:vAlign w:val="center"/>
            <w:hideMark/>
          </w:tcPr>
          <w:p w:rsidR="00EF70C3" w:rsidRPr="00EF70C3" w:rsidRDefault="00EF70C3" w:rsidP="00EF70C3">
            <w:pPr>
              <w:spacing w:after="0" w:line="240" w:lineRule="auto"/>
              <w:jc w:val="center"/>
              <w:rPr>
                <w:rFonts w:ascii="Calibri" w:eastAsia="Times New Roman" w:hAnsi="Calibri" w:cs="Times New Roman"/>
                <w:color w:val="000000"/>
                <w:sz w:val="20"/>
                <w:szCs w:val="20"/>
                <w:lang w:eastAsia="en-GB"/>
              </w:rPr>
            </w:pPr>
            <w:r w:rsidRPr="00EF70C3">
              <w:rPr>
                <w:rFonts w:ascii="Calibri" w:eastAsia="Times New Roman" w:hAnsi="Calibri" w:cs="Times New Roman"/>
                <w:color w:val="000000"/>
                <w:sz w:val="20"/>
                <w:szCs w:val="20"/>
                <w:lang w:eastAsia="en-GB"/>
              </w:rPr>
              <w:t>2,765</w:t>
            </w:r>
          </w:p>
        </w:tc>
        <w:tc>
          <w:tcPr>
            <w:tcW w:w="1134" w:type="dxa"/>
            <w:tcBorders>
              <w:top w:val="nil"/>
              <w:left w:val="nil"/>
              <w:bottom w:val="single" w:sz="4" w:space="0" w:color="auto"/>
              <w:right w:val="single" w:sz="4" w:space="0" w:color="auto"/>
            </w:tcBorders>
            <w:shd w:val="clear" w:color="auto" w:fill="auto"/>
            <w:vAlign w:val="center"/>
            <w:hideMark/>
          </w:tcPr>
          <w:p w:rsidR="00EF70C3" w:rsidRPr="00EF70C3" w:rsidRDefault="00EF70C3" w:rsidP="00EF70C3">
            <w:pPr>
              <w:spacing w:after="0" w:line="240" w:lineRule="auto"/>
              <w:jc w:val="center"/>
              <w:rPr>
                <w:rFonts w:ascii="Calibri" w:eastAsia="Times New Roman" w:hAnsi="Calibri" w:cs="Times New Roman"/>
                <w:color w:val="000000"/>
                <w:sz w:val="20"/>
                <w:szCs w:val="20"/>
                <w:lang w:eastAsia="en-GB"/>
              </w:rPr>
            </w:pPr>
            <w:r w:rsidRPr="00EF70C3">
              <w:rPr>
                <w:rFonts w:ascii="Calibri" w:eastAsia="Times New Roman" w:hAnsi="Calibri" w:cs="Times New Roman"/>
                <w:color w:val="000000"/>
                <w:sz w:val="20"/>
                <w:szCs w:val="20"/>
                <w:lang w:eastAsia="en-GB"/>
              </w:rPr>
              <w:t>81.4%</w:t>
            </w:r>
          </w:p>
        </w:tc>
      </w:tr>
      <w:tr w:rsidR="00EF70C3" w:rsidRPr="00EF70C3" w:rsidTr="009B110C">
        <w:trPr>
          <w:trHeight w:val="300"/>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EF70C3" w:rsidRPr="00EF70C3" w:rsidRDefault="00EF70C3" w:rsidP="00EF70C3">
            <w:pPr>
              <w:spacing w:after="0" w:line="240" w:lineRule="auto"/>
              <w:rPr>
                <w:rFonts w:ascii="Calibri" w:eastAsia="Times New Roman" w:hAnsi="Calibri" w:cs="Times New Roman"/>
                <w:color w:val="000000"/>
                <w:sz w:val="20"/>
                <w:szCs w:val="20"/>
                <w:lang w:eastAsia="en-GB"/>
              </w:rPr>
            </w:pPr>
            <w:r w:rsidRPr="00EF70C3">
              <w:rPr>
                <w:rFonts w:ascii="Calibri" w:eastAsia="Times New Roman" w:hAnsi="Calibri" w:cs="Times New Roman"/>
                <w:color w:val="000000"/>
                <w:sz w:val="20"/>
                <w:szCs w:val="20"/>
                <w:lang w:eastAsia="en-GB"/>
              </w:rPr>
              <w:t>No Disadvantaged Uplift</w:t>
            </w:r>
          </w:p>
        </w:tc>
        <w:tc>
          <w:tcPr>
            <w:tcW w:w="1134" w:type="dxa"/>
            <w:tcBorders>
              <w:top w:val="nil"/>
              <w:left w:val="nil"/>
              <w:bottom w:val="single" w:sz="4" w:space="0" w:color="auto"/>
              <w:right w:val="single" w:sz="4" w:space="0" w:color="auto"/>
            </w:tcBorders>
            <w:shd w:val="clear" w:color="auto" w:fill="auto"/>
            <w:noWrap/>
            <w:vAlign w:val="center"/>
            <w:hideMark/>
          </w:tcPr>
          <w:p w:rsidR="00EF70C3" w:rsidRPr="00EF70C3" w:rsidRDefault="00EF70C3" w:rsidP="00EF70C3">
            <w:pPr>
              <w:spacing w:after="0" w:line="240" w:lineRule="auto"/>
              <w:jc w:val="center"/>
              <w:rPr>
                <w:rFonts w:ascii="Calibri" w:eastAsia="Times New Roman" w:hAnsi="Calibri" w:cs="Times New Roman"/>
                <w:color w:val="000000"/>
                <w:sz w:val="20"/>
                <w:szCs w:val="20"/>
                <w:lang w:eastAsia="en-GB"/>
              </w:rPr>
            </w:pPr>
            <w:r w:rsidRPr="00EF70C3">
              <w:rPr>
                <w:rFonts w:ascii="Calibri" w:eastAsia="Times New Roman" w:hAnsi="Calibri" w:cs="Times New Roman"/>
                <w:color w:val="000000"/>
                <w:sz w:val="20"/>
                <w:szCs w:val="20"/>
                <w:lang w:eastAsia="en-GB"/>
              </w:rPr>
              <w:t>4,039</w:t>
            </w:r>
          </w:p>
        </w:tc>
        <w:tc>
          <w:tcPr>
            <w:tcW w:w="1134" w:type="dxa"/>
            <w:tcBorders>
              <w:top w:val="nil"/>
              <w:left w:val="nil"/>
              <w:bottom w:val="single" w:sz="4" w:space="0" w:color="auto"/>
              <w:right w:val="single" w:sz="4" w:space="0" w:color="auto"/>
            </w:tcBorders>
            <w:shd w:val="clear" w:color="auto" w:fill="auto"/>
            <w:vAlign w:val="center"/>
            <w:hideMark/>
          </w:tcPr>
          <w:p w:rsidR="00EF70C3" w:rsidRPr="00EF70C3" w:rsidRDefault="00EF70C3" w:rsidP="00EF70C3">
            <w:pPr>
              <w:spacing w:after="0" w:line="240" w:lineRule="auto"/>
              <w:jc w:val="center"/>
              <w:rPr>
                <w:rFonts w:ascii="Calibri" w:eastAsia="Times New Roman" w:hAnsi="Calibri" w:cs="Times New Roman"/>
                <w:color w:val="000000"/>
                <w:sz w:val="20"/>
                <w:szCs w:val="20"/>
                <w:lang w:eastAsia="en-GB"/>
              </w:rPr>
            </w:pPr>
            <w:r w:rsidRPr="00EF70C3">
              <w:rPr>
                <w:rFonts w:ascii="Calibri" w:eastAsia="Times New Roman" w:hAnsi="Calibri" w:cs="Times New Roman"/>
                <w:color w:val="000000"/>
                <w:sz w:val="20"/>
                <w:szCs w:val="20"/>
                <w:lang w:eastAsia="en-GB"/>
              </w:rPr>
              <w:t>83.7%</w:t>
            </w:r>
          </w:p>
        </w:tc>
      </w:tr>
      <w:tr w:rsidR="00EF70C3" w:rsidRPr="00EF70C3" w:rsidTr="009B110C">
        <w:trPr>
          <w:trHeight w:val="300"/>
        </w:trPr>
        <w:tc>
          <w:tcPr>
            <w:tcW w:w="236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F70C3" w:rsidRPr="00EF70C3" w:rsidRDefault="00EF70C3" w:rsidP="00EF70C3">
            <w:pPr>
              <w:spacing w:after="0" w:line="240" w:lineRule="auto"/>
              <w:rPr>
                <w:rFonts w:ascii="Calibri" w:eastAsia="Times New Roman" w:hAnsi="Calibri" w:cs="Times New Roman"/>
                <w:color w:val="000000"/>
                <w:sz w:val="20"/>
                <w:szCs w:val="20"/>
                <w:lang w:eastAsia="en-GB"/>
              </w:rPr>
            </w:pPr>
            <w:r w:rsidRPr="00EF70C3">
              <w:rPr>
                <w:rFonts w:ascii="Calibri" w:eastAsia="Times New Roman" w:hAnsi="Calibri" w:cs="Times New Roman"/>
                <w:color w:val="000000"/>
                <w:sz w:val="20"/>
                <w:szCs w:val="20"/>
                <w:lang w:eastAsia="en-GB"/>
              </w:rPr>
              <w:t>GAP</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EF70C3" w:rsidRPr="00EF70C3" w:rsidRDefault="00EF70C3" w:rsidP="00EF70C3">
            <w:pPr>
              <w:spacing w:after="0" w:line="240" w:lineRule="auto"/>
              <w:jc w:val="center"/>
              <w:rPr>
                <w:rFonts w:ascii="Calibri" w:eastAsia="Times New Roman" w:hAnsi="Calibri" w:cs="Times New Roman"/>
                <w:color w:val="000000"/>
                <w:sz w:val="20"/>
                <w:szCs w:val="20"/>
                <w:lang w:eastAsia="en-GB"/>
              </w:rPr>
            </w:pPr>
            <w:r w:rsidRPr="00EF70C3">
              <w:rPr>
                <w:rFonts w:ascii="Calibri" w:eastAsia="Times New Roman" w:hAnsi="Calibri" w:cs="Times New Roman"/>
                <w:color w:val="000000"/>
                <w:sz w:val="20"/>
                <w:szCs w:val="20"/>
                <w:lang w:eastAsia="en-GB"/>
              </w:rPr>
              <w:t>1,274</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EF70C3" w:rsidRPr="00EF70C3" w:rsidRDefault="00EF70C3" w:rsidP="00EF70C3">
            <w:pPr>
              <w:spacing w:after="0" w:line="240" w:lineRule="auto"/>
              <w:jc w:val="center"/>
              <w:rPr>
                <w:rFonts w:ascii="Calibri" w:eastAsia="Times New Roman" w:hAnsi="Calibri" w:cs="Times New Roman"/>
                <w:color w:val="000000"/>
                <w:sz w:val="20"/>
                <w:szCs w:val="20"/>
                <w:lang w:eastAsia="en-GB"/>
              </w:rPr>
            </w:pPr>
            <w:r w:rsidRPr="00EF70C3">
              <w:rPr>
                <w:rFonts w:ascii="Calibri" w:eastAsia="Times New Roman" w:hAnsi="Calibri" w:cs="Times New Roman"/>
                <w:color w:val="000000"/>
                <w:sz w:val="20"/>
                <w:szCs w:val="20"/>
                <w:lang w:eastAsia="en-GB"/>
              </w:rPr>
              <w:t>2.3%</w:t>
            </w:r>
          </w:p>
        </w:tc>
      </w:tr>
    </w:tbl>
    <w:p w:rsidR="00EF70C3" w:rsidRDefault="00EF70C3" w:rsidP="009640EE">
      <w:pPr>
        <w:spacing w:after="0" w:line="240" w:lineRule="auto"/>
        <w:rPr>
          <w:b/>
        </w:rPr>
      </w:pPr>
    </w:p>
    <w:p w:rsidR="00EF70C3" w:rsidRPr="00B502DC" w:rsidRDefault="00B502DC" w:rsidP="009640EE">
      <w:pPr>
        <w:spacing w:after="0" w:line="240" w:lineRule="auto"/>
      </w:pPr>
      <w:r w:rsidRPr="00B502DC">
        <w:t>There is a marginal achievement gap between students who are in receipt of a disadvantaged uplift in their funding and students who d</w:t>
      </w:r>
      <w:r w:rsidR="002B49F6">
        <w:t>id</w:t>
      </w:r>
      <w:r w:rsidRPr="00B502DC">
        <w:t xml:space="preserve"> not receive an uplift.  Historical data is not available for this measure.</w:t>
      </w:r>
      <w:r w:rsidR="00960973">
        <w:t xml:space="preserve"> In total there were 1,455 students who were resident in areas which attract disadvantage uplift, this is 39% of total students. </w:t>
      </w:r>
    </w:p>
    <w:p w:rsidR="00EF70C3" w:rsidRDefault="00EF70C3" w:rsidP="009640EE">
      <w:pPr>
        <w:spacing w:after="0" w:line="240" w:lineRule="auto"/>
      </w:pPr>
    </w:p>
    <w:p w:rsidR="00E52619" w:rsidRDefault="00B27CD4" w:rsidP="009640EE">
      <w:pPr>
        <w:spacing w:after="0" w:line="240" w:lineRule="auto"/>
        <w:rPr>
          <w:b/>
        </w:rPr>
      </w:pPr>
      <w:r>
        <w:rPr>
          <w:b/>
        </w:rPr>
        <w:t>DfE Performance Measures</w:t>
      </w:r>
    </w:p>
    <w:p w:rsidR="001C7189" w:rsidRDefault="001C7189" w:rsidP="009640EE">
      <w:pPr>
        <w:spacing w:after="0" w:line="240" w:lineRule="auto"/>
        <w:rPr>
          <w:b/>
        </w:rPr>
      </w:pPr>
    </w:p>
    <w:p w:rsidR="001C7189" w:rsidRDefault="001C7189" w:rsidP="009640EE">
      <w:pPr>
        <w:spacing w:after="0" w:line="240" w:lineRule="auto"/>
      </w:pPr>
      <w:r w:rsidRPr="001C7189">
        <w:t>From 2016/17 the DfE Performance Measures included results for the</w:t>
      </w:r>
      <w:r>
        <w:t xml:space="preserve"> disadvantaged</w:t>
      </w:r>
      <w:r w:rsidRPr="001C7189">
        <w:t xml:space="preserve"> students in our cohort</w:t>
      </w:r>
      <w:r>
        <w:t xml:space="preserve">.  For most of the measures the progress of disadvantaged students is </w:t>
      </w:r>
      <w:r w:rsidR="00BE6EF6">
        <w:t xml:space="preserve">slightly </w:t>
      </w:r>
      <w:r>
        <w:t>lower than the progress for all students, however for every measure disadvantaged students account for a very small proportion of the students that are counted.</w:t>
      </w:r>
    </w:p>
    <w:p w:rsidR="001C7189" w:rsidRPr="001C7189" w:rsidRDefault="001C7189" w:rsidP="009640EE">
      <w:pPr>
        <w:spacing w:after="0" w:line="240" w:lineRule="auto"/>
      </w:pPr>
    </w:p>
    <w:tbl>
      <w:tblPr>
        <w:tblW w:w="10080" w:type="dxa"/>
        <w:tblInd w:w="93" w:type="dxa"/>
        <w:tblLook w:val="04A0" w:firstRow="1" w:lastRow="0" w:firstColumn="1" w:lastColumn="0" w:noHBand="0" w:noVBand="1"/>
      </w:tblPr>
      <w:tblGrid>
        <w:gridCol w:w="1149"/>
        <w:gridCol w:w="2127"/>
        <w:gridCol w:w="1087"/>
        <w:gridCol w:w="1194"/>
        <w:gridCol w:w="1121"/>
        <w:gridCol w:w="1087"/>
        <w:gridCol w:w="1194"/>
        <w:gridCol w:w="1121"/>
      </w:tblGrid>
      <w:tr w:rsidR="00AA6612" w:rsidRPr="00AA6612" w:rsidTr="00AA6612">
        <w:trPr>
          <w:trHeight w:val="315"/>
        </w:trPr>
        <w:tc>
          <w:tcPr>
            <w:tcW w:w="1149" w:type="dxa"/>
            <w:tcBorders>
              <w:top w:val="nil"/>
              <w:left w:val="nil"/>
              <w:bottom w:val="nil"/>
              <w:right w:val="nil"/>
            </w:tcBorders>
            <w:shd w:val="clear" w:color="auto" w:fill="auto"/>
            <w:noWrap/>
            <w:vAlign w:val="center"/>
            <w:hideMark/>
          </w:tcPr>
          <w:p w:rsidR="00AA6612" w:rsidRPr="00AA6612" w:rsidRDefault="00AA6612" w:rsidP="00AA6612">
            <w:pPr>
              <w:spacing w:after="0" w:line="240" w:lineRule="auto"/>
              <w:rPr>
                <w:rFonts w:ascii="Calibri" w:eastAsia="Times New Roman" w:hAnsi="Calibri" w:cs="Times New Roman"/>
                <w:color w:val="000000"/>
                <w:sz w:val="20"/>
                <w:szCs w:val="20"/>
                <w:lang w:eastAsia="en-GB"/>
              </w:rPr>
            </w:pPr>
          </w:p>
        </w:tc>
        <w:tc>
          <w:tcPr>
            <w:tcW w:w="2127" w:type="dxa"/>
            <w:tcBorders>
              <w:top w:val="nil"/>
              <w:left w:val="nil"/>
              <w:bottom w:val="nil"/>
              <w:right w:val="nil"/>
            </w:tcBorders>
            <w:shd w:val="clear" w:color="auto" w:fill="auto"/>
            <w:noWrap/>
            <w:vAlign w:val="center"/>
            <w:hideMark/>
          </w:tcPr>
          <w:p w:rsidR="00AA6612" w:rsidRPr="00AA6612" w:rsidRDefault="00AA6612" w:rsidP="00AA6612">
            <w:pPr>
              <w:spacing w:after="0" w:line="240" w:lineRule="auto"/>
              <w:rPr>
                <w:rFonts w:ascii="Calibri" w:eastAsia="Times New Roman" w:hAnsi="Calibri" w:cs="Times New Roman"/>
                <w:color w:val="000000"/>
                <w:sz w:val="20"/>
                <w:szCs w:val="20"/>
                <w:lang w:eastAsia="en-GB"/>
              </w:rPr>
            </w:pPr>
          </w:p>
        </w:tc>
        <w:tc>
          <w:tcPr>
            <w:tcW w:w="340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A6612" w:rsidRPr="00AA6612" w:rsidRDefault="00B502DC" w:rsidP="00AA6612">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20</w:t>
            </w:r>
            <w:r w:rsidR="00AA6612" w:rsidRPr="00AA6612">
              <w:rPr>
                <w:rFonts w:ascii="Calibri" w:eastAsia="Times New Roman" w:hAnsi="Calibri" w:cs="Times New Roman"/>
                <w:b/>
                <w:bCs/>
                <w:color w:val="000000"/>
                <w:sz w:val="20"/>
                <w:szCs w:val="20"/>
                <w:lang w:eastAsia="en-GB"/>
              </w:rPr>
              <w:t>16/17</w:t>
            </w:r>
          </w:p>
        </w:tc>
        <w:tc>
          <w:tcPr>
            <w:tcW w:w="3402" w:type="dxa"/>
            <w:gridSpan w:val="3"/>
            <w:tcBorders>
              <w:top w:val="single" w:sz="8" w:space="0" w:color="auto"/>
              <w:left w:val="nil"/>
              <w:bottom w:val="single" w:sz="8" w:space="0" w:color="auto"/>
              <w:right w:val="single" w:sz="8" w:space="0" w:color="000000"/>
            </w:tcBorders>
            <w:shd w:val="clear" w:color="auto" w:fill="auto"/>
            <w:vAlign w:val="center"/>
            <w:hideMark/>
          </w:tcPr>
          <w:p w:rsidR="00AA6612" w:rsidRPr="00AA6612" w:rsidRDefault="00B502DC" w:rsidP="00AA6612">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2017/18</w:t>
            </w:r>
          </w:p>
        </w:tc>
      </w:tr>
      <w:tr w:rsidR="00AA6612" w:rsidRPr="00AA6612" w:rsidTr="001C7189">
        <w:trPr>
          <w:trHeight w:val="315"/>
        </w:trPr>
        <w:tc>
          <w:tcPr>
            <w:tcW w:w="1149" w:type="dxa"/>
            <w:tcBorders>
              <w:top w:val="nil"/>
              <w:left w:val="nil"/>
              <w:bottom w:val="nil"/>
              <w:right w:val="nil"/>
            </w:tcBorders>
            <w:shd w:val="clear" w:color="auto" w:fill="auto"/>
            <w:noWrap/>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p>
        </w:tc>
        <w:tc>
          <w:tcPr>
            <w:tcW w:w="2127" w:type="dxa"/>
            <w:tcBorders>
              <w:top w:val="nil"/>
              <w:left w:val="nil"/>
              <w:bottom w:val="nil"/>
              <w:right w:val="nil"/>
            </w:tcBorders>
            <w:shd w:val="clear" w:color="auto" w:fill="auto"/>
            <w:noWrap/>
            <w:vAlign w:val="center"/>
            <w:hideMark/>
          </w:tcPr>
          <w:p w:rsidR="00AA6612" w:rsidRPr="00AA6612" w:rsidRDefault="00AA6612" w:rsidP="00AA6612">
            <w:pPr>
              <w:spacing w:after="0" w:line="240" w:lineRule="auto"/>
              <w:rPr>
                <w:rFonts w:ascii="Calibri" w:eastAsia="Times New Roman" w:hAnsi="Calibri" w:cs="Times New Roman"/>
                <w:color w:val="000000"/>
                <w:sz w:val="20"/>
                <w:szCs w:val="20"/>
                <w:lang w:eastAsia="en-GB"/>
              </w:rPr>
            </w:pPr>
          </w:p>
        </w:tc>
        <w:tc>
          <w:tcPr>
            <w:tcW w:w="1134" w:type="dxa"/>
            <w:tcBorders>
              <w:top w:val="nil"/>
              <w:left w:val="single" w:sz="8" w:space="0" w:color="auto"/>
              <w:bottom w:val="nil"/>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All Students</w:t>
            </w:r>
          </w:p>
        </w:tc>
        <w:tc>
          <w:tcPr>
            <w:tcW w:w="1134" w:type="dxa"/>
            <w:tcBorders>
              <w:top w:val="nil"/>
              <w:left w:val="nil"/>
              <w:bottom w:val="nil"/>
              <w:right w:val="nil"/>
            </w:tcBorders>
            <w:shd w:val="clear" w:color="auto" w:fill="auto"/>
            <w:vAlign w:val="center"/>
            <w:hideMark/>
          </w:tcPr>
          <w:p w:rsidR="00DA0248" w:rsidRDefault="00AA6612" w:rsidP="00AA6612">
            <w:pPr>
              <w:spacing w:after="0" w:line="240" w:lineRule="auto"/>
              <w:jc w:val="center"/>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Dis</w:t>
            </w:r>
            <w:r w:rsidR="00DA0248">
              <w:rPr>
                <w:rFonts w:ascii="Calibri" w:eastAsia="Times New Roman" w:hAnsi="Calibri" w:cs="Times New Roman"/>
                <w:b/>
                <w:bCs/>
                <w:color w:val="000000"/>
                <w:sz w:val="20"/>
                <w:szCs w:val="20"/>
                <w:lang w:eastAsia="en-GB"/>
              </w:rPr>
              <w:t>-</w:t>
            </w:r>
          </w:p>
          <w:p w:rsidR="00AA6612" w:rsidRPr="00AA6612" w:rsidRDefault="00AA6612" w:rsidP="00DA0248">
            <w:pPr>
              <w:spacing w:after="0" w:line="240" w:lineRule="auto"/>
              <w:jc w:val="center"/>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advantaged</w:t>
            </w:r>
          </w:p>
        </w:tc>
        <w:tc>
          <w:tcPr>
            <w:tcW w:w="1134" w:type="dxa"/>
            <w:tcBorders>
              <w:top w:val="nil"/>
              <w:left w:val="single" w:sz="4" w:space="0" w:color="auto"/>
              <w:bottom w:val="nil"/>
              <w:right w:val="single" w:sz="4" w:space="0" w:color="auto"/>
            </w:tcBorders>
            <w:shd w:val="clear" w:color="000000" w:fill="BFBFBF"/>
            <w:vAlign w:val="center"/>
            <w:hideMark/>
          </w:tcPr>
          <w:p w:rsidR="00AA6612" w:rsidRPr="00AA6612" w:rsidRDefault="00AA6612" w:rsidP="00AA6612">
            <w:pPr>
              <w:spacing w:after="0" w:line="240" w:lineRule="auto"/>
              <w:jc w:val="center"/>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Diff</w:t>
            </w:r>
            <w:r>
              <w:rPr>
                <w:rFonts w:ascii="Calibri" w:eastAsia="Times New Roman" w:hAnsi="Calibri" w:cs="Times New Roman"/>
                <w:b/>
                <w:bCs/>
                <w:color w:val="000000"/>
                <w:sz w:val="20"/>
                <w:szCs w:val="20"/>
                <w:lang w:eastAsia="en-GB"/>
              </w:rPr>
              <w:t>erence</w:t>
            </w:r>
          </w:p>
        </w:tc>
        <w:tc>
          <w:tcPr>
            <w:tcW w:w="1134" w:type="dxa"/>
            <w:tcBorders>
              <w:top w:val="nil"/>
              <w:left w:val="nil"/>
              <w:bottom w:val="nil"/>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All Students</w:t>
            </w:r>
          </w:p>
        </w:tc>
        <w:tc>
          <w:tcPr>
            <w:tcW w:w="1134" w:type="dxa"/>
            <w:tcBorders>
              <w:top w:val="nil"/>
              <w:left w:val="nil"/>
              <w:bottom w:val="nil"/>
              <w:right w:val="single" w:sz="4" w:space="0" w:color="auto"/>
            </w:tcBorders>
            <w:shd w:val="clear" w:color="auto" w:fill="auto"/>
            <w:vAlign w:val="center"/>
            <w:hideMark/>
          </w:tcPr>
          <w:p w:rsidR="00AA6612" w:rsidRPr="00AA6612" w:rsidRDefault="00AA6612" w:rsidP="00DA0248">
            <w:pPr>
              <w:spacing w:after="0" w:line="240" w:lineRule="auto"/>
              <w:jc w:val="center"/>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Dis</w:t>
            </w:r>
            <w:r w:rsidR="00DA0248">
              <w:rPr>
                <w:rFonts w:ascii="Calibri" w:eastAsia="Times New Roman" w:hAnsi="Calibri" w:cs="Times New Roman"/>
                <w:b/>
                <w:bCs/>
                <w:color w:val="000000"/>
                <w:sz w:val="20"/>
                <w:szCs w:val="20"/>
                <w:lang w:eastAsia="en-GB"/>
              </w:rPr>
              <w:t>-</w:t>
            </w:r>
            <w:r w:rsidRPr="00AA6612">
              <w:rPr>
                <w:rFonts w:ascii="Calibri" w:eastAsia="Times New Roman" w:hAnsi="Calibri" w:cs="Times New Roman"/>
                <w:b/>
                <w:bCs/>
                <w:color w:val="000000"/>
                <w:sz w:val="20"/>
                <w:szCs w:val="20"/>
                <w:lang w:eastAsia="en-GB"/>
              </w:rPr>
              <w:t>advantaged</w:t>
            </w:r>
          </w:p>
        </w:tc>
        <w:tc>
          <w:tcPr>
            <w:tcW w:w="1134" w:type="dxa"/>
            <w:tcBorders>
              <w:top w:val="nil"/>
              <w:left w:val="nil"/>
              <w:bottom w:val="nil"/>
              <w:right w:val="single" w:sz="8" w:space="0" w:color="auto"/>
            </w:tcBorders>
            <w:shd w:val="clear" w:color="000000" w:fill="BFBFBF"/>
            <w:vAlign w:val="center"/>
            <w:hideMark/>
          </w:tcPr>
          <w:p w:rsidR="00AA6612" w:rsidRPr="00AA6612" w:rsidRDefault="00AA6612" w:rsidP="00AA6612">
            <w:pPr>
              <w:spacing w:after="0" w:line="240" w:lineRule="auto"/>
              <w:jc w:val="center"/>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Diff</w:t>
            </w:r>
            <w:r>
              <w:rPr>
                <w:rFonts w:ascii="Calibri" w:eastAsia="Times New Roman" w:hAnsi="Calibri" w:cs="Times New Roman"/>
                <w:b/>
                <w:bCs/>
                <w:color w:val="000000"/>
                <w:sz w:val="20"/>
                <w:szCs w:val="20"/>
                <w:lang w:eastAsia="en-GB"/>
              </w:rPr>
              <w:t>erence</w:t>
            </w:r>
          </w:p>
        </w:tc>
      </w:tr>
      <w:tr w:rsidR="00AA6612" w:rsidRPr="00AA6612" w:rsidTr="001C7189">
        <w:trPr>
          <w:trHeight w:val="300"/>
        </w:trPr>
        <w:tc>
          <w:tcPr>
            <w:tcW w:w="1149" w:type="dxa"/>
            <w:vMerge w:val="restart"/>
            <w:tcBorders>
              <w:top w:val="single" w:sz="8" w:space="0" w:color="auto"/>
              <w:left w:val="single" w:sz="8" w:space="0" w:color="auto"/>
              <w:bottom w:val="nil"/>
              <w:right w:val="single" w:sz="8" w:space="0" w:color="auto"/>
            </w:tcBorders>
            <w:shd w:val="clear" w:color="auto" w:fill="auto"/>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A Levels</w:t>
            </w:r>
          </w:p>
        </w:tc>
        <w:tc>
          <w:tcPr>
            <w:tcW w:w="2127" w:type="dxa"/>
            <w:tcBorders>
              <w:top w:val="single" w:sz="8" w:space="0" w:color="auto"/>
              <w:left w:val="nil"/>
              <w:bottom w:val="single" w:sz="4" w:space="0" w:color="auto"/>
              <w:right w:val="single" w:sz="8" w:space="0" w:color="auto"/>
            </w:tcBorders>
            <w:shd w:val="clear" w:color="auto" w:fill="auto"/>
            <w:noWrap/>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Students</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102</w:t>
            </w:r>
          </w:p>
        </w:tc>
        <w:tc>
          <w:tcPr>
            <w:tcW w:w="1134" w:type="dxa"/>
            <w:tcBorders>
              <w:top w:val="single" w:sz="8" w:space="0" w:color="auto"/>
              <w:left w:val="nil"/>
              <w:bottom w:val="single" w:sz="4" w:space="0" w:color="auto"/>
              <w:right w:val="nil"/>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35</w:t>
            </w:r>
          </w:p>
        </w:tc>
        <w:tc>
          <w:tcPr>
            <w:tcW w:w="1134" w:type="dxa"/>
            <w:tcBorders>
              <w:top w:val="single" w:sz="8" w:space="0" w:color="auto"/>
              <w:left w:val="single" w:sz="4" w:space="0" w:color="auto"/>
              <w:bottom w:val="single" w:sz="4" w:space="0" w:color="auto"/>
              <w:right w:val="single" w:sz="4"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67</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63</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13</w:t>
            </w:r>
          </w:p>
        </w:tc>
        <w:tc>
          <w:tcPr>
            <w:tcW w:w="1134" w:type="dxa"/>
            <w:tcBorders>
              <w:top w:val="single" w:sz="8" w:space="0" w:color="auto"/>
              <w:left w:val="nil"/>
              <w:bottom w:val="single" w:sz="4" w:space="0" w:color="auto"/>
              <w:right w:val="single" w:sz="8"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50</w:t>
            </w:r>
          </w:p>
        </w:tc>
      </w:tr>
      <w:tr w:rsidR="00AA6612" w:rsidRPr="00AA6612" w:rsidTr="001C7189">
        <w:trPr>
          <w:trHeight w:val="300"/>
        </w:trPr>
        <w:tc>
          <w:tcPr>
            <w:tcW w:w="1149" w:type="dxa"/>
            <w:vMerge/>
            <w:tcBorders>
              <w:top w:val="single" w:sz="8" w:space="0" w:color="auto"/>
              <w:left w:val="single" w:sz="8" w:space="0" w:color="auto"/>
              <w:bottom w:val="nil"/>
              <w:right w:val="single" w:sz="8" w:space="0" w:color="auto"/>
            </w:tcBorders>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p>
        </w:tc>
        <w:tc>
          <w:tcPr>
            <w:tcW w:w="2127" w:type="dxa"/>
            <w:tcBorders>
              <w:top w:val="nil"/>
              <w:left w:val="nil"/>
              <w:bottom w:val="single" w:sz="4" w:space="0" w:color="auto"/>
              <w:right w:val="single" w:sz="8" w:space="0" w:color="auto"/>
            </w:tcBorders>
            <w:shd w:val="clear" w:color="auto" w:fill="auto"/>
            <w:noWrap/>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Average Point Score</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20.46</w:t>
            </w:r>
          </w:p>
        </w:tc>
        <w:tc>
          <w:tcPr>
            <w:tcW w:w="1134" w:type="dxa"/>
            <w:tcBorders>
              <w:top w:val="nil"/>
              <w:left w:val="nil"/>
              <w:bottom w:val="single" w:sz="4" w:space="0" w:color="auto"/>
              <w:right w:val="nil"/>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17.49</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2.97</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18.63</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16.04</w:t>
            </w:r>
          </w:p>
        </w:tc>
        <w:tc>
          <w:tcPr>
            <w:tcW w:w="1134" w:type="dxa"/>
            <w:tcBorders>
              <w:top w:val="nil"/>
              <w:left w:val="nil"/>
              <w:bottom w:val="single" w:sz="4" w:space="0" w:color="auto"/>
              <w:right w:val="single" w:sz="8"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2.59</w:t>
            </w:r>
          </w:p>
        </w:tc>
      </w:tr>
      <w:tr w:rsidR="00AA6612" w:rsidRPr="00AA6612" w:rsidTr="001C7189">
        <w:trPr>
          <w:trHeight w:val="315"/>
        </w:trPr>
        <w:tc>
          <w:tcPr>
            <w:tcW w:w="1149" w:type="dxa"/>
            <w:vMerge/>
            <w:tcBorders>
              <w:top w:val="single" w:sz="8" w:space="0" w:color="auto"/>
              <w:left w:val="single" w:sz="8" w:space="0" w:color="auto"/>
              <w:bottom w:val="nil"/>
              <w:right w:val="single" w:sz="8" w:space="0" w:color="auto"/>
            </w:tcBorders>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p>
        </w:tc>
        <w:tc>
          <w:tcPr>
            <w:tcW w:w="2127" w:type="dxa"/>
            <w:tcBorders>
              <w:top w:val="nil"/>
              <w:left w:val="nil"/>
              <w:bottom w:val="single" w:sz="4" w:space="0" w:color="auto"/>
              <w:right w:val="single" w:sz="8" w:space="0" w:color="auto"/>
            </w:tcBorders>
            <w:shd w:val="clear" w:color="auto" w:fill="auto"/>
            <w:noWrap/>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L3 Value Added</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-0.4</w:t>
            </w:r>
          </w:p>
        </w:tc>
        <w:tc>
          <w:tcPr>
            <w:tcW w:w="1134" w:type="dxa"/>
            <w:tcBorders>
              <w:top w:val="nil"/>
              <w:left w:val="nil"/>
              <w:bottom w:val="single" w:sz="4" w:space="0" w:color="auto"/>
              <w:right w:val="nil"/>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-0.59</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0.19</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-0.55</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-0.5</w:t>
            </w:r>
          </w:p>
        </w:tc>
        <w:tc>
          <w:tcPr>
            <w:tcW w:w="1134" w:type="dxa"/>
            <w:tcBorders>
              <w:top w:val="nil"/>
              <w:left w:val="nil"/>
              <w:bottom w:val="single" w:sz="4" w:space="0" w:color="auto"/>
              <w:right w:val="single" w:sz="8"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0.05</w:t>
            </w:r>
          </w:p>
        </w:tc>
      </w:tr>
      <w:tr w:rsidR="00AA6612" w:rsidRPr="00AA6612" w:rsidTr="001C7189">
        <w:trPr>
          <w:trHeight w:val="300"/>
        </w:trPr>
        <w:tc>
          <w:tcPr>
            <w:tcW w:w="1149" w:type="dxa"/>
            <w:vMerge w:val="restart"/>
            <w:tcBorders>
              <w:top w:val="single" w:sz="8" w:space="0" w:color="auto"/>
              <w:left w:val="single" w:sz="8" w:space="0" w:color="auto"/>
              <w:bottom w:val="nil"/>
              <w:right w:val="single" w:sz="8" w:space="0" w:color="auto"/>
            </w:tcBorders>
            <w:shd w:val="clear" w:color="auto" w:fill="auto"/>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Applied General</w:t>
            </w:r>
          </w:p>
        </w:tc>
        <w:tc>
          <w:tcPr>
            <w:tcW w:w="2127" w:type="dxa"/>
            <w:tcBorders>
              <w:top w:val="single" w:sz="8" w:space="0" w:color="auto"/>
              <w:left w:val="nil"/>
              <w:bottom w:val="single" w:sz="4" w:space="0" w:color="auto"/>
              <w:right w:val="single" w:sz="8" w:space="0" w:color="auto"/>
            </w:tcBorders>
            <w:shd w:val="clear" w:color="auto" w:fill="auto"/>
            <w:noWrap/>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Students</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361</w:t>
            </w:r>
          </w:p>
        </w:tc>
        <w:tc>
          <w:tcPr>
            <w:tcW w:w="1134" w:type="dxa"/>
            <w:tcBorders>
              <w:top w:val="single" w:sz="8" w:space="0" w:color="auto"/>
              <w:left w:val="nil"/>
              <w:bottom w:val="single" w:sz="4" w:space="0" w:color="auto"/>
              <w:right w:val="nil"/>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75</w:t>
            </w:r>
          </w:p>
        </w:tc>
        <w:tc>
          <w:tcPr>
            <w:tcW w:w="1134" w:type="dxa"/>
            <w:tcBorders>
              <w:top w:val="single" w:sz="8" w:space="0" w:color="auto"/>
              <w:left w:val="single" w:sz="4" w:space="0" w:color="auto"/>
              <w:bottom w:val="single" w:sz="4" w:space="0" w:color="auto"/>
              <w:right w:val="single" w:sz="4"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286</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69</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14</w:t>
            </w:r>
          </w:p>
        </w:tc>
        <w:tc>
          <w:tcPr>
            <w:tcW w:w="1134" w:type="dxa"/>
            <w:tcBorders>
              <w:top w:val="single" w:sz="8" w:space="0" w:color="auto"/>
              <w:left w:val="nil"/>
              <w:bottom w:val="single" w:sz="4" w:space="0" w:color="auto"/>
              <w:right w:val="single" w:sz="8"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55</w:t>
            </w:r>
          </w:p>
        </w:tc>
      </w:tr>
      <w:tr w:rsidR="00AA6612" w:rsidRPr="00AA6612" w:rsidTr="001C7189">
        <w:trPr>
          <w:trHeight w:val="300"/>
        </w:trPr>
        <w:tc>
          <w:tcPr>
            <w:tcW w:w="1149" w:type="dxa"/>
            <w:vMerge/>
            <w:tcBorders>
              <w:top w:val="single" w:sz="8" w:space="0" w:color="auto"/>
              <w:left w:val="single" w:sz="8" w:space="0" w:color="auto"/>
              <w:bottom w:val="nil"/>
              <w:right w:val="single" w:sz="8" w:space="0" w:color="auto"/>
            </w:tcBorders>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p>
        </w:tc>
        <w:tc>
          <w:tcPr>
            <w:tcW w:w="2127" w:type="dxa"/>
            <w:tcBorders>
              <w:top w:val="nil"/>
              <w:left w:val="nil"/>
              <w:bottom w:val="single" w:sz="4" w:space="0" w:color="auto"/>
              <w:right w:val="single" w:sz="8" w:space="0" w:color="auto"/>
            </w:tcBorders>
            <w:shd w:val="clear" w:color="auto" w:fill="auto"/>
            <w:noWrap/>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Average Point Score</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27.24</w:t>
            </w:r>
          </w:p>
        </w:tc>
        <w:tc>
          <w:tcPr>
            <w:tcW w:w="1134" w:type="dxa"/>
            <w:tcBorders>
              <w:top w:val="nil"/>
              <w:left w:val="nil"/>
              <w:bottom w:val="single" w:sz="4" w:space="0" w:color="auto"/>
              <w:right w:val="nil"/>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25.76</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1.48</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22.76</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21.46</w:t>
            </w:r>
          </w:p>
        </w:tc>
        <w:tc>
          <w:tcPr>
            <w:tcW w:w="1134" w:type="dxa"/>
            <w:tcBorders>
              <w:top w:val="nil"/>
              <w:left w:val="nil"/>
              <w:bottom w:val="single" w:sz="4" w:space="0" w:color="auto"/>
              <w:right w:val="single" w:sz="8"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1.3</w:t>
            </w:r>
          </w:p>
        </w:tc>
      </w:tr>
      <w:tr w:rsidR="00AA6612" w:rsidRPr="00AA6612" w:rsidTr="001C7189">
        <w:trPr>
          <w:trHeight w:val="315"/>
        </w:trPr>
        <w:tc>
          <w:tcPr>
            <w:tcW w:w="1149" w:type="dxa"/>
            <w:vMerge/>
            <w:tcBorders>
              <w:top w:val="single" w:sz="8" w:space="0" w:color="auto"/>
              <w:left w:val="single" w:sz="8" w:space="0" w:color="auto"/>
              <w:bottom w:val="nil"/>
              <w:right w:val="single" w:sz="8" w:space="0" w:color="auto"/>
            </w:tcBorders>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p>
        </w:tc>
        <w:tc>
          <w:tcPr>
            <w:tcW w:w="2127" w:type="dxa"/>
            <w:tcBorders>
              <w:top w:val="nil"/>
              <w:left w:val="nil"/>
              <w:bottom w:val="single" w:sz="4" w:space="0" w:color="auto"/>
              <w:right w:val="single" w:sz="8" w:space="0" w:color="auto"/>
            </w:tcBorders>
            <w:shd w:val="clear" w:color="auto" w:fill="auto"/>
            <w:noWrap/>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L3 Value Added</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-0.75</w:t>
            </w:r>
          </w:p>
        </w:tc>
        <w:tc>
          <w:tcPr>
            <w:tcW w:w="1134" w:type="dxa"/>
            <w:tcBorders>
              <w:top w:val="nil"/>
              <w:left w:val="nil"/>
              <w:bottom w:val="single" w:sz="4" w:space="0" w:color="auto"/>
              <w:right w:val="nil"/>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-0.78</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0.03</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-0.69</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-0.69</w:t>
            </w:r>
          </w:p>
        </w:tc>
        <w:tc>
          <w:tcPr>
            <w:tcW w:w="1134" w:type="dxa"/>
            <w:tcBorders>
              <w:top w:val="nil"/>
              <w:left w:val="nil"/>
              <w:bottom w:val="single" w:sz="4" w:space="0" w:color="auto"/>
              <w:right w:val="single" w:sz="8"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w:t>
            </w:r>
          </w:p>
        </w:tc>
      </w:tr>
      <w:tr w:rsidR="00AA6612" w:rsidRPr="00AA6612" w:rsidTr="001C7189">
        <w:trPr>
          <w:trHeight w:val="300"/>
        </w:trPr>
        <w:tc>
          <w:tcPr>
            <w:tcW w:w="1149" w:type="dxa"/>
            <w:vMerge w:val="restart"/>
            <w:tcBorders>
              <w:top w:val="single" w:sz="8" w:space="0" w:color="auto"/>
              <w:left w:val="single" w:sz="8" w:space="0" w:color="auto"/>
              <w:bottom w:val="nil"/>
              <w:right w:val="single" w:sz="8" w:space="0" w:color="auto"/>
            </w:tcBorders>
            <w:shd w:val="clear" w:color="auto" w:fill="auto"/>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Technical Level</w:t>
            </w:r>
          </w:p>
        </w:tc>
        <w:tc>
          <w:tcPr>
            <w:tcW w:w="2127" w:type="dxa"/>
            <w:tcBorders>
              <w:top w:val="single" w:sz="8" w:space="0" w:color="auto"/>
              <w:left w:val="nil"/>
              <w:bottom w:val="single" w:sz="4" w:space="0" w:color="auto"/>
              <w:right w:val="single" w:sz="8" w:space="0" w:color="auto"/>
            </w:tcBorders>
            <w:shd w:val="clear" w:color="auto" w:fill="auto"/>
            <w:noWrap/>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Students</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416</w:t>
            </w:r>
          </w:p>
        </w:tc>
        <w:tc>
          <w:tcPr>
            <w:tcW w:w="1134" w:type="dxa"/>
            <w:tcBorders>
              <w:top w:val="single" w:sz="8" w:space="0" w:color="auto"/>
              <w:left w:val="nil"/>
              <w:bottom w:val="single" w:sz="4" w:space="0" w:color="auto"/>
              <w:right w:val="nil"/>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95</w:t>
            </w:r>
          </w:p>
        </w:tc>
        <w:tc>
          <w:tcPr>
            <w:tcW w:w="1134" w:type="dxa"/>
            <w:tcBorders>
              <w:top w:val="single" w:sz="8" w:space="0" w:color="auto"/>
              <w:left w:val="single" w:sz="4" w:space="0" w:color="auto"/>
              <w:bottom w:val="single" w:sz="4" w:space="0" w:color="auto"/>
              <w:right w:val="single" w:sz="4"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321</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5</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w:t>
            </w:r>
          </w:p>
        </w:tc>
        <w:tc>
          <w:tcPr>
            <w:tcW w:w="1134" w:type="dxa"/>
            <w:tcBorders>
              <w:top w:val="single" w:sz="8" w:space="0" w:color="auto"/>
              <w:left w:val="nil"/>
              <w:bottom w:val="single" w:sz="4" w:space="0" w:color="auto"/>
              <w:right w:val="single" w:sz="8"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w:t>
            </w:r>
          </w:p>
        </w:tc>
      </w:tr>
      <w:tr w:rsidR="00AA6612" w:rsidRPr="00AA6612" w:rsidTr="001C7189">
        <w:trPr>
          <w:trHeight w:val="300"/>
        </w:trPr>
        <w:tc>
          <w:tcPr>
            <w:tcW w:w="1149" w:type="dxa"/>
            <w:vMerge/>
            <w:tcBorders>
              <w:top w:val="single" w:sz="8" w:space="0" w:color="auto"/>
              <w:left w:val="single" w:sz="8" w:space="0" w:color="auto"/>
              <w:bottom w:val="nil"/>
              <w:right w:val="single" w:sz="8" w:space="0" w:color="auto"/>
            </w:tcBorders>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p>
        </w:tc>
        <w:tc>
          <w:tcPr>
            <w:tcW w:w="2127" w:type="dxa"/>
            <w:tcBorders>
              <w:top w:val="nil"/>
              <w:left w:val="nil"/>
              <w:bottom w:val="single" w:sz="4" w:space="0" w:color="auto"/>
              <w:right w:val="single" w:sz="8" w:space="0" w:color="auto"/>
            </w:tcBorders>
            <w:shd w:val="clear" w:color="auto" w:fill="auto"/>
            <w:noWrap/>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Average Point Score</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25.2</w:t>
            </w:r>
          </w:p>
        </w:tc>
        <w:tc>
          <w:tcPr>
            <w:tcW w:w="1134" w:type="dxa"/>
            <w:tcBorders>
              <w:top w:val="nil"/>
              <w:left w:val="nil"/>
              <w:bottom w:val="single" w:sz="4" w:space="0" w:color="auto"/>
              <w:right w:val="nil"/>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23.94</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1.26</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23.57</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w:t>
            </w:r>
          </w:p>
        </w:tc>
        <w:tc>
          <w:tcPr>
            <w:tcW w:w="1134" w:type="dxa"/>
            <w:tcBorders>
              <w:top w:val="nil"/>
              <w:left w:val="nil"/>
              <w:bottom w:val="single" w:sz="4" w:space="0" w:color="auto"/>
              <w:right w:val="single" w:sz="8"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w:t>
            </w:r>
          </w:p>
        </w:tc>
      </w:tr>
      <w:tr w:rsidR="00AA6612" w:rsidRPr="00AA6612" w:rsidTr="001C7189">
        <w:trPr>
          <w:trHeight w:val="315"/>
        </w:trPr>
        <w:tc>
          <w:tcPr>
            <w:tcW w:w="1149" w:type="dxa"/>
            <w:vMerge/>
            <w:tcBorders>
              <w:top w:val="single" w:sz="8" w:space="0" w:color="auto"/>
              <w:left w:val="single" w:sz="8" w:space="0" w:color="auto"/>
              <w:bottom w:val="nil"/>
              <w:right w:val="single" w:sz="8" w:space="0" w:color="auto"/>
            </w:tcBorders>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p>
        </w:tc>
        <w:tc>
          <w:tcPr>
            <w:tcW w:w="2127" w:type="dxa"/>
            <w:tcBorders>
              <w:top w:val="nil"/>
              <w:left w:val="nil"/>
              <w:bottom w:val="single" w:sz="4" w:space="0" w:color="auto"/>
              <w:right w:val="single" w:sz="8" w:space="0" w:color="auto"/>
            </w:tcBorders>
            <w:shd w:val="clear" w:color="auto" w:fill="auto"/>
            <w:noWrap/>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Completion &amp; Attainment</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-0.66</w:t>
            </w:r>
          </w:p>
        </w:tc>
        <w:tc>
          <w:tcPr>
            <w:tcW w:w="1134" w:type="dxa"/>
            <w:tcBorders>
              <w:top w:val="nil"/>
              <w:left w:val="nil"/>
              <w:bottom w:val="single" w:sz="4" w:space="0" w:color="auto"/>
              <w:right w:val="nil"/>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-0.96</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0.3</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-0.94</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w:t>
            </w:r>
          </w:p>
        </w:tc>
        <w:tc>
          <w:tcPr>
            <w:tcW w:w="1134" w:type="dxa"/>
            <w:tcBorders>
              <w:top w:val="nil"/>
              <w:left w:val="nil"/>
              <w:bottom w:val="single" w:sz="4" w:space="0" w:color="auto"/>
              <w:right w:val="single" w:sz="8"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w:t>
            </w:r>
          </w:p>
        </w:tc>
      </w:tr>
      <w:tr w:rsidR="00AA6612" w:rsidRPr="00AA6612" w:rsidTr="001C7189">
        <w:trPr>
          <w:trHeight w:val="315"/>
        </w:trPr>
        <w:tc>
          <w:tcPr>
            <w:tcW w:w="11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English &amp; Maths</w:t>
            </w:r>
          </w:p>
        </w:tc>
        <w:tc>
          <w:tcPr>
            <w:tcW w:w="2127" w:type="dxa"/>
            <w:tcBorders>
              <w:top w:val="single" w:sz="8" w:space="0" w:color="auto"/>
              <w:left w:val="nil"/>
              <w:bottom w:val="single" w:sz="4" w:space="0" w:color="auto"/>
              <w:right w:val="single" w:sz="8" w:space="0" w:color="auto"/>
            </w:tcBorders>
            <w:shd w:val="clear" w:color="auto" w:fill="auto"/>
            <w:noWrap/>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Students</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817</w:t>
            </w:r>
          </w:p>
        </w:tc>
        <w:tc>
          <w:tcPr>
            <w:tcW w:w="1134" w:type="dxa"/>
            <w:tcBorders>
              <w:top w:val="single" w:sz="8" w:space="0" w:color="auto"/>
              <w:left w:val="nil"/>
              <w:bottom w:val="single" w:sz="4" w:space="0" w:color="auto"/>
              <w:right w:val="nil"/>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326</w:t>
            </w:r>
          </w:p>
        </w:tc>
        <w:tc>
          <w:tcPr>
            <w:tcW w:w="1134" w:type="dxa"/>
            <w:tcBorders>
              <w:top w:val="single" w:sz="8" w:space="0" w:color="auto"/>
              <w:left w:val="single" w:sz="4" w:space="0" w:color="auto"/>
              <w:bottom w:val="single" w:sz="4" w:space="0" w:color="auto"/>
              <w:right w:val="single" w:sz="4"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491</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430</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200</w:t>
            </w:r>
          </w:p>
        </w:tc>
        <w:tc>
          <w:tcPr>
            <w:tcW w:w="1134" w:type="dxa"/>
            <w:tcBorders>
              <w:top w:val="single" w:sz="8" w:space="0" w:color="auto"/>
              <w:left w:val="nil"/>
              <w:bottom w:val="single" w:sz="4" w:space="0" w:color="auto"/>
              <w:right w:val="single" w:sz="8"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230</w:t>
            </w:r>
          </w:p>
        </w:tc>
      </w:tr>
      <w:tr w:rsidR="00AA6612" w:rsidRPr="00AA6612" w:rsidTr="001C7189">
        <w:trPr>
          <w:trHeight w:val="300"/>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p>
        </w:tc>
        <w:tc>
          <w:tcPr>
            <w:tcW w:w="2127" w:type="dxa"/>
            <w:tcBorders>
              <w:top w:val="nil"/>
              <w:left w:val="nil"/>
              <w:bottom w:val="single" w:sz="4" w:space="0" w:color="auto"/>
              <w:right w:val="single" w:sz="8" w:space="0" w:color="auto"/>
            </w:tcBorders>
            <w:shd w:val="clear" w:color="auto" w:fill="auto"/>
            <w:noWrap/>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English Progress</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-0.16</w:t>
            </w:r>
          </w:p>
        </w:tc>
        <w:tc>
          <w:tcPr>
            <w:tcW w:w="1134" w:type="dxa"/>
            <w:tcBorders>
              <w:top w:val="nil"/>
              <w:left w:val="nil"/>
              <w:bottom w:val="single" w:sz="4" w:space="0" w:color="auto"/>
              <w:right w:val="nil"/>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-0.25</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0.09</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-0.37</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-0.46</w:t>
            </w:r>
          </w:p>
        </w:tc>
        <w:tc>
          <w:tcPr>
            <w:tcW w:w="1134" w:type="dxa"/>
            <w:tcBorders>
              <w:top w:val="nil"/>
              <w:left w:val="nil"/>
              <w:bottom w:val="single" w:sz="4" w:space="0" w:color="auto"/>
              <w:right w:val="single" w:sz="8"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0.09</w:t>
            </w:r>
          </w:p>
        </w:tc>
      </w:tr>
      <w:tr w:rsidR="00AA6612" w:rsidRPr="00AA6612" w:rsidTr="001C7189">
        <w:trPr>
          <w:trHeight w:val="300"/>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p>
        </w:tc>
        <w:tc>
          <w:tcPr>
            <w:tcW w:w="2127" w:type="dxa"/>
            <w:tcBorders>
              <w:top w:val="nil"/>
              <w:left w:val="nil"/>
              <w:bottom w:val="single" w:sz="4" w:space="0" w:color="auto"/>
              <w:right w:val="single" w:sz="8" w:space="0" w:color="auto"/>
            </w:tcBorders>
            <w:shd w:val="clear" w:color="auto" w:fill="auto"/>
            <w:noWrap/>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Students</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623</w:t>
            </w:r>
          </w:p>
        </w:tc>
        <w:tc>
          <w:tcPr>
            <w:tcW w:w="1134" w:type="dxa"/>
            <w:tcBorders>
              <w:top w:val="nil"/>
              <w:left w:val="nil"/>
              <w:bottom w:val="single" w:sz="4" w:space="0" w:color="auto"/>
              <w:right w:val="nil"/>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333</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290</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474</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208</w:t>
            </w:r>
          </w:p>
        </w:tc>
        <w:tc>
          <w:tcPr>
            <w:tcW w:w="1134" w:type="dxa"/>
            <w:tcBorders>
              <w:top w:val="nil"/>
              <w:left w:val="nil"/>
              <w:bottom w:val="single" w:sz="4" w:space="0" w:color="auto"/>
              <w:right w:val="single" w:sz="8"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266</w:t>
            </w:r>
          </w:p>
        </w:tc>
      </w:tr>
      <w:tr w:rsidR="00AA6612" w:rsidRPr="00AA6612" w:rsidTr="001C7189">
        <w:trPr>
          <w:trHeight w:val="315"/>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p>
        </w:tc>
        <w:tc>
          <w:tcPr>
            <w:tcW w:w="2127" w:type="dxa"/>
            <w:tcBorders>
              <w:top w:val="nil"/>
              <w:left w:val="nil"/>
              <w:bottom w:val="single" w:sz="8" w:space="0" w:color="auto"/>
              <w:right w:val="single" w:sz="8" w:space="0" w:color="auto"/>
            </w:tcBorders>
            <w:shd w:val="clear" w:color="auto" w:fill="auto"/>
            <w:noWrap/>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Maths Progress</w:t>
            </w:r>
          </w:p>
        </w:tc>
        <w:tc>
          <w:tcPr>
            <w:tcW w:w="1134" w:type="dxa"/>
            <w:tcBorders>
              <w:top w:val="nil"/>
              <w:left w:val="nil"/>
              <w:bottom w:val="single" w:sz="8"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-0.19</w:t>
            </w:r>
          </w:p>
        </w:tc>
        <w:tc>
          <w:tcPr>
            <w:tcW w:w="1134" w:type="dxa"/>
            <w:tcBorders>
              <w:top w:val="nil"/>
              <w:left w:val="nil"/>
              <w:bottom w:val="single" w:sz="8" w:space="0" w:color="auto"/>
              <w:right w:val="nil"/>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-0.23</w:t>
            </w:r>
          </w:p>
        </w:tc>
        <w:tc>
          <w:tcPr>
            <w:tcW w:w="1134" w:type="dxa"/>
            <w:tcBorders>
              <w:top w:val="nil"/>
              <w:left w:val="single" w:sz="4" w:space="0" w:color="auto"/>
              <w:bottom w:val="single" w:sz="8" w:space="0" w:color="auto"/>
              <w:right w:val="single" w:sz="4"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0.04</w:t>
            </w:r>
          </w:p>
        </w:tc>
        <w:tc>
          <w:tcPr>
            <w:tcW w:w="1134" w:type="dxa"/>
            <w:tcBorders>
              <w:top w:val="nil"/>
              <w:left w:val="nil"/>
              <w:bottom w:val="single" w:sz="8"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-0.31</w:t>
            </w:r>
          </w:p>
        </w:tc>
        <w:tc>
          <w:tcPr>
            <w:tcW w:w="1134" w:type="dxa"/>
            <w:tcBorders>
              <w:top w:val="nil"/>
              <w:left w:val="nil"/>
              <w:bottom w:val="single" w:sz="8"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-0.4</w:t>
            </w:r>
          </w:p>
        </w:tc>
        <w:tc>
          <w:tcPr>
            <w:tcW w:w="1134" w:type="dxa"/>
            <w:tcBorders>
              <w:top w:val="nil"/>
              <w:left w:val="nil"/>
              <w:bottom w:val="single" w:sz="8" w:space="0" w:color="auto"/>
              <w:right w:val="single" w:sz="8"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0.09</w:t>
            </w:r>
          </w:p>
        </w:tc>
      </w:tr>
      <w:tr w:rsidR="00BE6EF6" w:rsidRPr="00AA6612" w:rsidTr="00DA0248">
        <w:trPr>
          <w:trHeight w:val="315"/>
        </w:trPr>
        <w:tc>
          <w:tcPr>
            <w:tcW w:w="1149" w:type="dxa"/>
            <w:tcBorders>
              <w:top w:val="nil"/>
              <w:left w:val="nil"/>
              <w:bottom w:val="nil"/>
              <w:right w:val="nil"/>
            </w:tcBorders>
            <w:shd w:val="clear" w:color="auto" w:fill="auto"/>
            <w:noWrap/>
            <w:vAlign w:val="center"/>
            <w:hideMark/>
          </w:tcPr>
          <w:p w:rsidR="00BE6EF6" w:rsidRPr="00AA6612" w:rsidRDefault="00BE6EF6" w:rsidP="00DA0248">
            <w:pPr>
              <w:spacing w:after="0" w:line="240" w:lineRule="auto"/>
              <w:rPr>
                <w:rFonts w:ascii="Calibri" w:eastAsia="Times New Roman" w:hAnsi="Calibri" w:cs="Times New Roman"/>
                <w:color w:val="000000"/>
                <w:sz w:val="20"/>
                <w:szCs w:val="20"/>
                <w:lang w:eastAsia="en-GB"/>
              </w:rPr>
            </w:pPr>
          </w:p>
        </w:tc>
        <w:tc>
          <w:tcPr>
            <w:tcW w:w="2127" w:type="dxa"/>
            <w:tcBorders>
              <w:top w:val="nil"/>
              <w:left w:val="nil"/>
              <w:bottom w:val="nil"/>
              <w:right w:val="nil"/>
            </w:tcBorders>
            <w:shd w:val="clear" w:color="auto" w:fill="auto"/>
            <w:noWrap/>
            <w:vAlign w:val="center"/>
            <w:hideMark/>
          </w:tcPr>
          <w:p w:rsidR="00BE6EF6" w:rsidRPr="00AA6612" w:rsidRDefault="00BE6EF6" w:rsidP="00DA0248">
            <w:pPr>
              <w:spacing w:after="0" w:line="240" w:lineRule="auto"/>
              <w:rPr>
                <w:rFonts w:ascii="Calibri" w:eastAsia="Times New Roman" w:hAnsi="Calibri" w:cs="Times New Roman"/>
                <w:color w:val="000000"/>
                <w:sz w:val="20"/>
                <w:szCs w:val="20"/>
                <w:lang w:eastAsia="en-GB"/>
              </w:rPr>
            </w:pPr>
          </w:p>
        </w:tc>
        <w:tc>
          <w:tcPr>
            <w:tcW w:w="340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E6EF6" w:rsidRPr="00AA6612" w:rsidRDefault="00BE6EF6" w:rsidP="00DA0248">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20</w:t>
            </w:r>
            <w:r w:rsidRPr="00AA6612">
              <w:rPr>
                <w:rFonts w:ascii="Calibri" w:eastAsia="Times New Roman" w:hAnsi="Calibri" w:cs="Times New Roman"/>
                <w:b/>
                <w:bCs/>
                <w:color w:val="000000"/>
                <w:sz w:val="20"/>
                <w:szCs w:val="20"/>
                <w:lang w:eastAsia="en-GB"/>
              </w:rPr>
              <w:t>16/17</w:t>
            </w:r>
          </w:p>
        </w:tc>
        <w:tc>
          <w:tcPr>
            <w:tcW w:w="3402" w:type="dxa"/>
            <w:gridSpan w:val="3"/>
            <w:tcBorders>
              <w:top w:val="single" w:sz="8" w:space="0" w:color="auto"/>
              <w:left w:val="nil"/>
              <w:bottom w:val="single" w:sz="8" w:space="0" w:color="auto"/>
              <w:right w:val="single" w:sz="8" w:space="0" w:color="000000"/>
            </w:tcBorders>
            <w:shd w:val="clear" w:color="auto" w:fill="auto"/>
            <w:vAlign w:val="center"/>
            <w:hideMark/>
          </w:tcPr>
          <w:p w:rsidR="00BE6EF6" w:rsidRPr="00AA6612" w:rsidRDefault="00BE6EF6" w:rsidP="00DA0248">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2017/18</w:t>
            </w:r>
          </w:p>
        </w:tc>
      </w:tr>
      <w:tr w:rsidR="00BE6EF6" w:rsidRPr="00AA6612" w:rsidTr="00DA0248">
        <w:trPr>
          <w:trHeight w:val="315"/>
        </w:trPr>
        <w:tc>
          <w:tcPr>
            <w:tcW w:w="1149" w:type="dxa"/>
            <w:tcBorders>
              <w:top w:val="nil"/>
              <w:left w:val="nil"/>
              <w:bottom w:val="nil"/>
              <w:right w:val="nil"/>
            </w:tcBorders>
            <w:shd w:val="clear" w:color="auto" w:fill="auto"/>
            <w:noWrap/>
            <w:vAlign w:val="center"/>
            <w:hideMark/>
          </w:tcPr>
          <w:p w:rsidR="00BE6EF6" w:rsidRPr="00AA6612" w:rsidRDefault="00BE6EF6" w:rsidP="00DA0248">
            <w:pPr>
              <w:spacing w:after="0" w:line="240" w:lineRule="auto"/>
              <w:rPr>
                <w:rFonts w:ascii="Calibri" w:eastAsia="Times New Roman" w:hAnsi="Calibri" w:cs="Times New Roman"/>
                <w:b/>
                <w:bCs/>
                <w:color w:val="000000"/>
                <w:sz w:val="20"/>
                <w:szCs w:val="20"/>
                <w:lang w:eastAsia="en-GB"/>
              </w:rPr>
            </w:pPr>
          </w:p>
        </w:tc>
        <w:tc>
          <w:tcPr>
            <w:tcW w:w="2127" w:type="dxa"/>
            <w:tcBorders>
              <w:top w:val="nil"/>
              <w:left w:val="nil"/>
              <w:bottom w:val="nil"/>
              <w:right w:val="nil"/>
            </w:tcBorders>
            <w:shd w:val="clear" w:color="auto" w:fill="auto"/>
            <w:noWrap/>
            <w:vAlign w:val="center"/>
            <w:hideMark/>
          </w:tcPr>
          <w:p w:rsidR="00BE6EF6" w:rsidRPr="00AA6612" w:rsidRDefault="00BE6EF6" w:rsidP="00DA0248">
            <w:pPr>
              <w:spacing w:after="0" w:line="240" w:lineRule="auto"/>
              <w:rPr>
                <w:rFonts w:ascii="Calibri" w:eastAsia="Times New Roman" w:hAnsi="Calibri" w:cs="Times New Roman"/>
                <w:color w:val="000000"/>
                <w:sz w:val="20"/>
                <w:szCs w:val="20"/>
                <w:lang w:eastAsia="en-GB"/>
              </w:rPr>
            </w:pPr>
          </w:p>
        </w:tc>
        <w:tc>
          <w:tcPr>
            <w:tcW w:w="1134" w:type="dxa"/>
            <w:tcBorders>
              <w:top w:val="nil"/>
              <w:left w:val="single" w:sz="8" w:space="0" w:color="auto"/>
              <w:bottom w:val="nil"/>
              <w:right w:val="single" w:sz="4" w:space="0" w:color="auto"/>
            </w:tcBorders>
            <w:shd w:val="clear" w:color="auto" w:fill="auto"/>
            <w:vAlign w:val="center"/>
            <w:hideMark/>
          </w:tcPr>
          <w:p w:rsidR="00BE6EF6" w:rsidRPr="00AA6612" w:rsidRDefault="00BE6EF6" w:rsidP="00DA0248">
            <w:pPr>
              <w:spacing w:after="0" w:line="240" w:lineRule="auto"/>
              <w:jc w:val="center"/>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All Students</w:t>
            </w:r>
          </w:p>
        </w:tc>
        <w:tc>
          <w:tcPr>
            <w:tcW w:w="1134" w:type="dxa"/>
            <w:tcBorders>
              <w:top w:val="nil"/>
              <w:left w:val="nil"/>
              <w:bottom w:val="nil"/>
              <w:right w:val="nil"/>
            </w:tcBorders>
            <w:shd w:val="clear" w:color="auto" w:fill="auto"/>
            <w:vAlign w:val="center"/>
            <w:hideMark/>
          </w:tcPr>
          <w:p w:rsidR="00BE6EF6" w:rsidRPr="00AA6612" w:rsidRDefault="00BE6EF6" w:rsidP="00DA0248">
            <w:pPr>
              <w:spacing w:after="0" w:line="240" w:lineRule="auto"/>
              <w:jc w:val="center"/>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Dis</w:t>
            </w:r>
            <w:r w:rsidR="00DA0248">
              <w:rPr>
                <w:rFonts w:ascii="Calibri" w:eastAsia="Times New Roman" w:hAnsi="Calibri" w:cs="Times New Roman"/>
                <w:b/>
                <w:bCs/>
                <w:color w:val="000000"/>
                <w:sz w:val="20"/>
                <w:szCs w:val="20"/>
                <w:lang w:eastAsia="en-GB"/>
              </w:rPr>
              <w:t xml:space="preserve"> - </w:t>
            </w:r>
            <w:r w:rsidRPr="00AA6612">
              <w:rPr>
                <w:rFonts w:ascii="Calibri" w:eastAsia="Times New Roman" w:hAnsi="Calibri" w:cs="Times New Roman"/>
                <w:b/>
                <w:bCs/>
                <w:color w:val="000000"/>
                <w:sz w:val="20"/>
                <w:szCs w:val="20"/>
                <w:lang w:eastAsia="en-GB"/>
              </w:rPr>
              <w:t>advantaged</w:t>
            </w:r>
          </w:p>
        </w:tc>
        <w:tc>
          <w:tcPr>
            <w:tcW w:w="1134" w:type="dxa"/>
            <w:tcBorders>
              <w:top w:val="nil"/>
              <w:left w:val="single" w:sz="4" w:space="0" w:color="auto"/>
              <w:bottom w:val="nil"/>
              <w:right w:val="single" w:sz="4" w:space="0" w:color="auto"/>
            </w:tcBorders>
            <w:shd w:val="clear" w:color="000000" w:fill="BFBFBF"/>
            <w:vAlign w:val="center"/>
            <w:hideMark/>
          </w:tcPr>
          <w:p w:rsidR="00BE6EF6" w:rsidRPr="00AA6612" w:rsidRDefault="00BE6EF6" w:rsidP="00DA0248">
            <w:pPr>
              <w:spacing w:after="0" w:line="240" w:lineRule="auto"/>
              <w:jc w:val="center"/>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Diff</w:t>
            </w:r>
            <w:r>
              <w:rPr>
                <w:rFonts w:ascii="Calibri" w:eastAsia="Times New Roman" w:hAnsi="Calibri" w:cs="Times New Roman"/>
                <w:b/>
                <w:bCs/>
                <w:color w:val="000000"/>
                <w:sz w:val="20"/>
                <w:szCs w:val="20"/>
                <w:lang w:eastAsia="en-GB"/>
              </w:rPr>
              <w:t>erence</w:t>
            </w:r>
          </w:p>
        </w:tc>
        <w:tc>
          <w:tcPr>
            <w:tcW w:w="1134" w:type="dxa"/>
            <w:tcBorders>
              <w:top w:val="nil"/>
              <w:left w:val="nil"/>
              <w:bottom w:val="nil"/>
              <w:right w:val="single" w:sz="4" w:space="0" w:color="auto"/>
            </w:tcBorders>
            <w:shd w:val="clear" w:color="auto" w:fill="auto"/>
            <w:vAlign w:val="center"/>
            <w:hideMark/>
          </w:tcPr>
          <w:p w:rsidR="00BE6EF6" w:rsidRPr="00AA6612" w:rsidRDefault="00BE6EF6" w:rsidP="00DA0248">
            <w:pPr>
              <w:spacing w:after="0" w:line="240" w:lineRule="auto"/>
              <w:jc w:val="center"/>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All Students</w:t>
            </w:r>
          </w:p>
        </w:tc>
        <w:tc>
          <w:tcPr>
            <w:tcW w:w="1134" w:type="dxa"/>
            <w:tcBorders>
              <w:top w:val="nil"/>
              <w:left w:val="nil"/>
              <w:bottom w:val="nil"/>
              <w:right w:val="single" w:sz="4" w:space="0" w:color="auto"/>
            </w:tcBorders>
            <w:shd w:val="clear" w:color="auto" w:fill="auto"/>
            <w:vAlign w:val="center"/>
            <w:hideMark/>
          </w:tcPr>
          <w:p w:rsidR="00BE6EF6" w:rsidRPr="00AA6612" w:rsidRDefault="00BE6EF6" w:rsidP="00DA0248">
            <w:pPr>
              <w:spacing w:after="0" w:line="240" w:lineRule="auto"/>
              <w:jc w:val="center"/>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Dis</w:t>
            </w:r>
            <w:r w:rsidR="00DA0248">
              <w:rPr>
                <w:rFonts w:ascii="Calibri" w:eastAsia="Times New Roman" w:hAnsi="Calibri" w:cs="Times New Roman"/>
                <w:b/>
                <w:bCs/>
                <w:color w:val="000000"/>
                <w:sz w:val="20"/>
                <w:szCs w:val="20"/>
                <w:lang w:eastAsia="en-GB"/>
              </w:rPr>
              <w:t>-</w:t>
            </w:r>
            <w:r w:rsidRPr="00AA6612">
              <w:rPr>
                <w:rFonts w:ascii="Calibri" w:eastAsia="Times New Roman" w:hAnsi="Calibri" w:cs="Times New Roman"/>
                <w:b/>
                <w:bCs/>
                <w:color w:val="000000"/>
                <w:sz w:val="20"/>
                <w:szCs w:val="20"/>
                <w:lang w:eastAsia="en-GB"/>
              </w:rPr>
              <w:t>advantaged</w:t>
            </w:r>
          </w:p>
        </w:tc>
        <w:tc>
          <w:tcPr>
            <w:tcW w:w="1134" w:type="dxa"/>
            <w:tcBorders>
              <w:top w:val="nil"/>
              <w:left w:val="nil"/>
              <w:bottom w:val="nil"/>
              <w:right w:val="single" w:sz="8" w:space="0" w:color="auto"/>
            </w:tcBorders>
            <w:shd w:val="clear" w:color="000000" w:fill="BFBFBF"/>
            <w:vAlign w:val="center"/>
            <w:hideMark/>
          </w:tcPr>
          <w:p w:rsidR="00BE6EF6" w:rsidRPr="00AA6612" w:rsidRDefault="00BE6EF6" w:rsidP="00DA0248">
            <w:pPr>
              <w:spacing w:after="0" w:line="240" w:lineRule="auto"/>
              <w:jc w:val="center"/>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Diff</w:t>
            </w:r>
            <w:r>
              <w:rPr>
                <w:rFonts w:ascii="Calibri" w:eastAsia="Times New Roman" w:hAnsi="Calibri" w:cs="Times New Roman"/>
                <w:b/>
                <w:bCs/>
                <w:color w:val="000000"/>
                <w:sz w:val="20"/>
                <w:szCs w:val="20"/>
                <w:lang w:eastAsia="en-GB"/>
              </w:rPr>
              <w:t>erence</w:t>
            </w:r>
          </w:p>
        </w:tc>
      </w:tr>
      <w:tr w:rsidR="00AA6612" w:rsidRPr="00AA6612" w:rsidTr="001C7189">
        <w:trPr>
          <w:trHeight w:val="315"/>
        </w:trPr>
        <w:tc>
          <w:tcPr>
            <w:tcW w:w="1149" w:type="dxa"/>
            <w:vMerge w:val="restart"/>
            <w:tcBorders>
              <w:top w:val="nil"/>
              <w:left w:val="single" w:sz="8" w:space="0" w:color="auto"/>
              <w:bottom w:val="nil"/>
              <w:right w:val="single" w:sz="8" w:space="0" w:color="auto"/>
            </w:tcBorders>
            <w:shd w:val="clear" w:color="auto" w:fill="auto"/>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L2 Technical Certificate</w:t>
            </w:r>
          </w:p>
        </w:tc>
        <w:tc>
          <w:tcPr>
            <w:tcW w:w="2127" w:type="dxa"/>
            <w:tcBorders>
              <w:top w:val="nil"/>
              <w:left w:val="nil"/>
              <w:bottom w:val="single" w:sz="4" w:space="0" w:color="auto"/>
              <w:right w:val="single" w:sz="8" w:space="0" w:color="auto"/>
            </w:tcBorders>
            <w:shd w:val="clear" w:color="auto" w:fill="auto"/>
            <w:noWrap/>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Students</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243</w:t>
            </w:r>
          </w:p>
        </w:tc>
        <w:tc>
          <w:tcPr>
            <w:tcW w:w="1134" w:type="dxa"/>
            <w:tcBorders>
              <w:top w:val="nil"/>
              <w:left w:val="nil"/>
              <w:bottom w:val="single" w:sz="4" w:space="0" w:color="auto"/>
              <w:right w:val="nil"/>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77</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166</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103</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32</w:t>
            </w:r>
          </w:p>
        </w:tc>
        <w:tc>
          <w:tcPr>
            <w:tcW w:w="1134" w:type="dxa"/>
            <w:tcBorders>
              <w:top w:val="nil"/>
              <w:left w:val="nil"/>
              <w:bottom w:val="single" w:sz="4" w:space="0" w:color="auto"/>
              <w:right w:val="single" w:sz="8"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71</w:t>
            </w:r>
          </w:p>
        </w:tc>
      </w:tr>
      <w:tr w:rsidR="00AA6612" w:rsidRPr="00AA6612" w:rsidTr="001C7189">
        <w:trPr>
          <w:trHeight w:val="300"/>
        </w:trPr>
        <w:tc>
          <w:tcPr>
            <w:tcW w:w="1149" w:type="dxa"/>
            <w:vMerge/>
            <w:tcBorders>
              <w:top w:val="nil"/>
              <w:left w:val="single" w:sz="8" w:space="0" w:color="auto"/>
              <w:bottom w:val="nil"/>
              <w:right w:val="single" w:sz="8" w:space="0" w:color="auto"/>
            </w:tcBorders>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p>
        </w:tc>
        <w:tc>
          <w:tcPr>
            <w:tcW w:w="2127" w:type="dxa"/>
            <w:tcBorders>
              <w:top w:val="nil"/>
              <w:left w:val="nil"/>
              <w:bottom w:val="single" w:sz="4" w:space="0" w:color="auto"/>
              <w:right w:val="single" w:sz="8" w:space="0" w:color="auto"/>
            </w:tcBorders>
            <w:shd w:val="clear" w:color="auto" w:fill="auto"/>
            <w:noWrap/>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Average Point Score</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5.51</w:t>
            </w:r>
          </w:p>
        </w:tc>
        <w:tc>
          <w:tcPr>
            <w:tcW w:w="1134" w:type="dxa"/>
            <w:tcBorders>
              <w:top w:val="nil"/>
              <w:left w:val="nil"/>
              <w:bottom w:val="single" w:sz="4" w:space="0" w:color="auto"/>
              <w:right w:val="nil"/>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5.39</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0.12</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5.69</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5.71</w:t>
            </w:r>
          </w:p>
        </w:tc>
        <w:tc>
          <w:tcPr>
            <w:tcW w:w="1134" w:type="dxa"/>
            <w:tcBorders>
              <w:top w:val="nil"/>
              <w:left w:val="nil"/>
              <w:bottom w:val="single" w:sz="4" w:space="0" w:color="auto"/>
              <w:right w:val="single" w:sz="8"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0.02</w:t>
            </w:r>
          </w:p>
        </w:tc>
      </w:tr>
      <w:tr w:rsidR="00AA6612" w:rsidRPr="00AA6612" w:rsidTr="001C7189">
        <w:trPr>
          <w:trHeight w:val="315"/>
        </w:trPr>
        <w:tc>
          <w:tcPr>
            <w:tcW w:w="1149" w:type="dxa"/>
            <w:vMerge/>
            <w:tcBorders>
              <w:top w:val="nil"/>
              <w:left w:val="single" w:sz="8" w:space="0" w:color="auto"/>
              <w:bottom w:val="nil"/>
              <w:right w:val="single" w:sz="8" w:space="0" w:color="auto"/>
            </w:tcBorders>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p>
        </w:tc>
        <w:tc>
          <w:tcPr>
            <w:tcW w:w="2127" w:type="dxa"/>
            <w:tcBorders>
              <w:top w:val="nil"/>
              <w:left w:val="nil"/>
              <w:bottom w:val="single" w:sz="4" w:space="0" w:color="auto"/>
              <w:right w:val="single" w:sz="8" w:space="0" w:color="auto"/>
            </w:tcBorders>
            <w:shd w:val="clear" w:color="auto" w:fill="auto"/>
            <w:noWrap/>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Completion &amp; Attainment</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-0.08</w:t>
            </w:r>
          </w:p>
        </w:tc>
        <w:tc>
          <w:tcPr>
            <w:tcW w:w="1134" w:type="dxa"/>
            <w:tcBorders>
              <w:top w:val="nil"/>
              <w:left w:val="nil"/>
              <w:bottom w:val="single" w:sz="4" w:space="0" w:color="auto"/>
              <w:right w:val="nil"/>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N/A</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-0.09</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-2.68</w:t>
            </w:r>
          </w:p>
        </w:tc>
        <w:tc>
          <w:tcPr>
            <w:tcW w:w="1134" w:type="dxa"/>
            <w:tcBorders>
              <w:top w:val="nil"/>
              <w:left w:val="nil"/>
              <w:bottom w:val="single" w:sz="4" w:space="0" w:color="auto"/>
              <w:right w:val="single" w:sz="8"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2.59</w:t>
            </w:r>
          </w:p>
        </w:tc>
      </w:tr>
      <w:tr w:rsidR="00AA6612" w:rsidRPr="00AA6612" w:rsidTr="001C7189">
        <w:trPr>
          <w:trHeight w:val="300"/>
        </w:trPr>
        <w:tc>
          <w:tcPr>
            <w:tcW w:w="11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L2 Vocational</w:t>
            </w:r>
          </w:p>
        </w:tc>
        <w:tc>
          <w:tcPr>
            <w:tcW w:w="2127" w:type="dxa"/>
            <w:tcBorders>
              <w:top w:val="single" w:sz="8" w:space="0" w:color="auto"/>
              <w:left w:val="nil"/>
              <w:bottom w:val="single" w:sz="4" w:space="0" w:color="auto"/>
              <w:right w:val="single" w:sz="8" w:space="0" w:color="auto"/>
            </w:tcBorders>
            <w:shd w:val="clear" w:color="auto" w:fill="auto"/>
            <w:noWrap/>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Students</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791</w:t>
            </w:r>
          </w:p>
        </w:tc>
        <w:tc>
          <w:tcPr>
            <w:tcW w:w="1134" w:type="dxa"/>
            <w:tcBorders>
              <w:top w:val="single" w:sz="8" w:space="0" w:color="auto"/>
              <w:left w:val="nil"/>
              <w:bottom w:val="single" w:sz="4" w:space="0" w:color="auto"/>
              <w:right w:val="nil"/>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240</w:t>
            </w:r>
          </w:p>
        </w:tc>
        <w:tc>
          <w:tcPr>
            <w:tcW w:w="1134" w:type="dxa"/>
            <w:tcBorders>
              <w:top w:val="single" w:sz="8" w:space="0" w:color="auto"/>
              <w:left w:val="single" w:sz="4" w:space="0" w:color="auto"/>
              <w:bottom w:val="single" w:sz="4" w:space="0" w:color="auto"/>
              <w:right w:val="single" w:sz="4"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551</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500</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142</w:t>
            </w:r>
          </w:p>
        </w:tc>
        <w:tc>
          <w:tcPr>
            <w:tcW w:w="1134" w:type="dxa"/>
            <w:tcBorders>
              <w:top w:val="single" w:sz="8" w:space="0" w:color="auto"/>
              <w:left w:val="nil"/>
              <w:bottom w:val="single" w:sz="4" w:space="0" w:color="auto"/>
              <w:right w:val="single" w:sz="8"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358</w:t>
            </w:r>
          </w:p>
        </w:tc>
      </w:tr>
      <w:tr w:rsidR="00AA6612" w:rsidRPr="00AA6612" w:rsidTr="001C7189">
        <w:trPr>
          <w:trHeight w:val="300"/>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p>
        </w:tc>
        <w:tc>
          <w:tcPr>
            <w:tcW w:w="2127" w:type="dxa"/>
            <w:tcBorders>
              <w:top w:val="nil"/>
              <w:left w:val="nil"/>
              <w:bottom w:val="single" w:sz="4" w:space="0" w:color="auto"/>
              <w:right w:val="single" w:sz="8" w:space="0" w:color="auto"/>
            </w:tcBorders>
            <w:shd w:val="clear" w:color="auto" w:fill="auto"/>
            <w:noWrap/>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r w:rsidRPr="00AA6612">
              <w:rPr>
                <w:rFonts w:ascii="Calibri" w:eastAsia="Times New Roman" w:hAnsi="Calibri" w:cs="Times New Roman"/>
                <w:b/>
                <w:bCs/>
                <w:color w:val="000000"/>
                <w:sz w:val="20"/>
                <w:szCs w:val="20"/>
                <w:lang w:eastAsia="en-GB"/>
              </w:rPr>
              <w:t>Average Point Score</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5.57</w:t>
            </w:r>
          </w:p>
        </w:tc>
        <w:tc>
          <w:tcPr>
            <w:tcW w:w="1134" w:type="dxa"/>
            <w:tcBorders>
              <w:top w:val="nil"/>
              <w:left w:val="nil"/>
              <w:bottom w:val="single" w:sz="4" w:space="0" w:color="auto"/>
              <w:right w:val="nil"/>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5.42</w:t>
            </w: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0.15</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5.52</w:t>
            </w:r>
          </w:p>
        </w:tc>
        <w:tc>
          <w:tcPr>
            <w:tcW w:w="1134" w:type="dxa"/>
            <w:tcBorders>
              <w:top w:val="nil"/>
              <w:left w:val="nil"/>
              <w:bottom w:val="single" w:sz="4"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5.41</w:t>
            </w:r>
          </w:p>
        </w:tc>
        <w:tc>
          <w:tcPr>
            <w:tcW w:w="1134" w:type="dxa"/>
            <w:tcBorders>
              <w:top w:val="nil"/>
              <w:left w:val="nil"/>
              <w:bottom w:val="single" w:sz="4" w:space="0" w:color="auto"/>
              <w:right w:val="single" w:sz="8"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0.11</w:t>
            </w:r>
          </w:p>
        </w:tc>
      </w:tr>
      <w:tr w:rsidR="00AA6612" w:rsidRPr="00AA6612" w:rsidTr="00BE6EF6">
        <w:trPr>
          <w:trHeight w:val="315"/>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p>
        </w:tc>
        <w:tc>
          <w:tcPr>
            <w:tcW w:w="2127" w:type="dxa"/>
            <w:tcBorders>
              <w:top w:val="single" w:sz="4" w:space="0" w:color="auto"/>
              <w:left w:val="nil"/>
              <w:bottom w:val="single" w:sz="8" w:space="0" w:color="auto"/>
              <w:right w:val="single" w:sz="8" w:space="0" w:color="auto"/>
            </w:tcBorders>
            <w:shd w:val="clear" w:color="auto" w:fill="auto"/>
            <w:noWrap/>
            <w:vAlign w:val="center"/>
            <w:hideMark/>
          </w:tcPr>
          <w:p w:rsidR="00AA6612" w:rsidRPr="00AA6612" w:rsidRDefault="00AA6612" w:rsidP="00AA6612">
            <w:pPr>
              <w:spacing w:after="0" w:line="240" w:lineRule="auto"/>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Completion &amp; Attainment</w:t>
            </w:r>
          </w:p>
        </w:tc>
        <w:tc>
          <w:tcPr>
            <w:tcW w:w="1134" w:type="dxa"/>
            <w:tcBorders>
              <w:top w:val="nil"/>
              <w:left w:val="nil"/>
              <w:bottom w:val="single" w:sz="8"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0.05</w:t>
            </w:r>
          </w:p>
        </w:tc>
        <w:tc>
          <w:tcPr>
            <w:tcW w:w="1134" w:type="dxa"/>
            <w:tcBorders>
              <w:top w:val="nil"/>
              <w:left w:val="nil"/>
              <w:bottom w:val="single" w:sz="8" w:space="0" w:color="auto"/>
              <w:right w:val="nil"/>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N/A</w:t>
            </w:r>
          </w:p>
        </w:tc>
        <w:tc>
          <w:tcPr>
            <w:tcW w:w="1134" w:type="dxa"/>
            <w:tcBorders>
              <w:top w:val="nil"/>
              <w:left w:val="single" w:sz="4" w:space="0" w:color="auto"/>
              <w:bottom w:val="single" w:sz="8" w:space="0" w:color="auto"/>
              <w:right w:val="single" w:sz="4"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w:t>
            </w:r>
          </w:p>
        </w:tc>
        <w:tc>
          <w:tcPr>
            <w:tcW w:w="1134" w:type="dxa"/>
            <w:tcBorders>
              <w:top w:val="nil"/>
              <w:left w:val="nil"/>
              <w:bottom w:val="single" w:sz="8"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-0.25</w:t>
            </w:r>
          </w:p>
        </w:tc>
        <w:tc>
          <w:tcPr>
            <w:tcW w:w="1134" w:type="dxa"/>
            <w:tcBorders>
              <w:top w:val="nil"/>
              <w:left w:val="nil"/>
              <w:bottom w:val="single" w:sz="8" w:space="0" w:color="auto"/>
              <w:right w:val="single" w:sz="4" w:space="0" w:color="auto"/>
            </w:tcBorders>
            <w:shd w:val="clear" w:color="auto" w:fill="auto"/>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-0.3</w:t>
            </w:r>
          </w:p>
        </w:tc>
        <w:tc>
          <w:tcPr>
            <w:tcW w:w="1134" w:type="dxa"/>
            <w:tcBorders>
              <w:top w:val="nil"/>
              <w:left w:val="nil"/>
              <w:bottom w:val="single" w:sz="8" w:space="0" w:color="auto"/>
              <w:right w:val="single" w:sz="8" w:space="0" w:color="auto"/>
            </w:tcBorders>
            <w:shd w:val="clear" w:color="000000" w:fill="D9D9D9"/>
            <w:vAlign w:val="center"/>
            <w:hideMark/>
          </w:tcPr>
          <w:p w:rsidR="00AA6612" w:rsidRPr="00AA6612" w:rsidRDefault="00AA6612" w:rsidP="00AA6612">
            <w:pPr>
              <w:spacing w:after="0" w:line="240" w:lineRule="auto"/>
              <w:jc w:val="center"/>
              <w:rPr>
                <w:rFonts w:ascii="Calibri" w:eastAsia="Times New Roman" w:hAnsi="Calibri" w:cs="Times New Roman"/>
                <w:color w:val="000000"/>
                <w:sz w:val="20"/>
                <w:szCs w:val="20"/>
                <w:lang w:eastAsia="en-GB"/>
              </w:rPr>
            </w:pPr>
            <w:r w:rsidRPr="00AA6612">
              <w:rPr>
                <w:rFonts w:ascii="Calibri" w:eastAsia="Times New Roman" w:hAnsi="Calibri" w:cs="Times New Roman"/>
                <w:color w:val="000000"/>
                <w:sz w:val="20"/>
                <w:szCs w:val="20"/>
                <w:lang w:eastAsia="en-GB"/>
              </w:rPr>
              <w:t>0.05</w:t>
            </w:r>
          </w:p>
        </w:tc>
      </w:tr>
    </w:tbl>
    <w:p w:rsidR="00B27CD4" w:rsidRDefault="00B27CD4" w:rsidP="009640EE">
      <w:pPr>
        <w:spacing w:after="0" w:line="240" w:lineRule="auto"/>
        <w:rPr>
          <w:b/>
        </w:rPr>
      </w:pPr>
    </w:p>
    <w:p w:rsidR="00B27CD4" w:rsidRDefault="00B27CD4" w:rsidP="009640EE">
      <w:pPr>
        <w:spacing w:after="0" w:line="240" w:lineRule="auto"/>
        <w:rPr>
          <w:b/>
        </w:rPr>
      </w:pPr>
    </w:p>
    <w:p w:rsidR="002B49F6" w:rsidRDefault="002B49F6" w:rsidP="009640EE">
      <w:pPr>
        <w:spacing w:after="0" w:line="240" w:lineRule="auto"/>
        <w:rPr>
          <w:b/>
        </w:rPr>
      </w:pPr>
    </w:p>
    <w:p w:rsidR="002B49F6" w:rsidRDefault="002B49F6" w:rsidP="009640EE">
      <w:pPr>
        <w:spacing w:after="0" w:line="240" w:lineRule="auto"/>
        <w:rPr>
          <w:b/>
        </w:rPr>
      </w:pPr>
    </w:p>
    <w:p w:rsidR="002B49F6" w:rsidRDefault="002B49F6" w:rsidP="009640EE">
      <w:pPr>
        <w:spacing w:after="0" w:line="240" w:lineRule="auto"/>
        <w:rPr>
          <w:b/>
        </w:rPr>
      </w:pPr>
    </w:p>
    <w:p w:rsidR="002B49F6" w:rsidRDefault="002B49F6" w:rsidP="009640EE">
      <w:pPr>
        <w:spacing w:after="0" w:line="240" w:lineRule="auto"/>
        <w:rPr>
          <w:b/>
        </w:rPr>
      </w:pPr>
    </w:p>
    <w:p w:rsidR="002B49F6" w:rsidRDefault="002B49F6" w:rsidP="009640EE">
      <w:pPr>
        <w:spacing w:after="0" w:line="240" w:lineRule="auto"/>
        <w:rPr>
          <w:b/>
        </w:rPr>
      </w:pPr>
    </w:p>
    <w:p w:rsidR="002B49F6" w:rsidRDefault="002B49F6" w:rsidP="009640EE">
      <w:pPr>
        <w:spacing w:after="0" w:line="240" w:lineRule="auto"/>
        <w:rPr>
          <w:b/>
        </w:rPr>
      </w:pPr>
    </w:p>
    <w:p w:rsidR="002B49F6" w:rsidRDefault="002B49F6" w:rsidP="009640EE">
      <w:pPr>
        <w:spacing w:after="0" w:line="240" w:lineRule="auto"/>
        <w:rPr>
          <w:b/>
        </w:rPr>
      </w:pPr>
    </w:p>
    <w:p w:rsidR="002B49F6" w:rsidRDefault="002B49F6" w:rsidP="009640EE">
      <w:pPr>
        <w:spacing w:after="0" w:line="240" w:lineRule="auto"/>
        <w:rPr>
          <w:b/>
        </w:rPr>
      </w:pPr>
    </w:p>
    <w:p w:rsidR="002B49F6" w:rsidRDefault="002B49F6" w:rsidP="009640EE">
      <w:pPr>
        <w:spacing w:after="0" w:line="240" w:lineRule="auto"/>
        <w:rPr>
          <w:b/>
        </w:rPr>
      </w:pPr>
    </w:p>
    <w:p w:rsidR="002B49F6" w:rsidRDefault="002B49F6" w:rsidP="009640EE">
      <w:pPr>
        <w:spacing w:after="0" w:line="240" w:lineRule="auto"/>
        <w:rPr>
          <w:b/>
        </w:rPr>
      </w:pPr>
    </w:p>
    <w:p w:rsidR="002B49F6" w:rsidRDefault="002B49F6" w:rsidP="009640EE">
      <w:pPr>
        <w:spacing w:after="0" w:line="240" w:lineRule="auto"/>
        <w:rPr>
          <w:b/>
        </w:rPr>
      </w:pPr>
    </w:p>
    <w:p w:rsidR="002B49F6" w:rsidRDefault="002B49F6" w:rsidP="009640EE">
      <w:pPr>
        <w:spacing w:after="0" w:line="240" w:lineRule="auto"/>
        <w:rPr>
          <w:b/>
        </w:rPr>
      </w:pPr>
    </w:p>
    <w:p w:rsidR="002B49F6" w:rsidRDefault="002B49F6" w:rsidP="009640EE">
      <w:pPr>
        <w:spacing w:after="0" w:line="240" w:lineRule="auto"/>
        <w:rPr>
          <w:b/>
        </w:rPr>
      </w:pPr>
    </w:p>
    <w:p w:rsidR="002B49F6" w:rsidRDefault="002B49F6" w:rsidP="009640EE">
      <w:pPr>
        <w:spacing w:after="0" w:line="240" w:lineRule="auto"/>
        <w:rPr>
          <w:b/>
        </w:rPr>
      </w:pPr>
    </w:p>
    <w:p w:rsidR="002B49F6" w:rsidRDefault="002B49F6" w:rsidP="009640EE">
      <w:pPr>
        <w:spacing w:after="0" w:line="240" w:lineRule="auto"/>
        <w:rPr>
          <w:b/>
        </w:rPr>
      </w:pPr>
    </w:p>
    <w:p w:rsidR="002B49F6" w:rsidRDefault="002B49F6" w:rsidP="009640EE">
      <w:pPr>
        <w:spacing w:after="0" w:line="240" w:lineRule="auto"/>
        <w:rPr>
          <w:b/>
        </w:rPr>
      </w:pPr>
    </w:p>
    <w:p w:rsidR="002B49F6" w:rsidRDefault="002B49F6" w:rsidP="009640EE">
      <w:pPr>
        <w:spacing w:after="0" w:line="240" w:lineRule="auto"/>
        <w:rPr>
          <w:b/>
        </w:rPr>
      </w:pPr>
    </w:p>
    <w:p w:rsidR="002B49F6" w:rsidRDefault="002B49F6" w:rsidP="009640EE">
      <w:pPr>
        <w:spacing w:after="0" w:line="240" w:lineRule="auto"/>
        <w:rPr>
          <w:b/>
        </w:rPr>
      </w:pPr>
    </w:p>
    <w:p w:rsidR="002B49F6" w:rsidRDefault="002B49F6" w:rsidP="009640EE">
      <w:pPr>
        <w:spacing w:after="0" w:line="240" w:lineRule="auto"/>
        <w:rPr>
          <w:b/>
        </w:rPr>
      </w:pPr>
    </w:p>
    <w:p w:rsidR="002B49F6" w:rsidRDefault="002B49F6" w:rsidP="009640EE">
      <w:pPr>
        <w:spacing w:after="0" w:line="240" w:lineRule="auto"/>
        <w:rPr>
          <w:b/>
        </w:rPr>
      </w:pPr>
    </w:p>
    <w:p w:rsidR="002B49F6" w:rsidRDefault="002B49F6" w:rsidP="009640EE">
      <w:pPr>
        <w:spacing w:after="0" w:line="240" w:lineRule="auto"/>
        <w:rPr>
          <w:b/>
        </w:rPr>
      </w:pPr>
    </w:p>
    <w:p w:rsidR="002B49F6" w:rsidRDefault="002B49F6" w:rsidP="009640EE">
      <w:pPr>
        <w:spacing w:after="0" w:line="240" w:lineRule="auto"/>
        <w:rPr>
          <w:b/>
        </w:rPr>
      </w:pPr>
    </w:p>
    <w:p w:rsidR="002B49F6" w:rsidRDefault="002B49F6" w:rsidP="009640EE">
      <w:pPr>
        <w:spacing w:after="0" w:line="240" w:lineRule="auto"/>
        <w:rPr>
          <w:b/>
        </w:rPr>
      </w:pPr>
    </w:p>
    <w:p w:rsidR="002B49F6" w:rsidRDefault="002B49F6" w:rsidP="009640EE">
      <w:pPr>
        <w:spacing w:after="0" w:line="240" w:lineRule="auto"/>
        <w:rPr>
          <w:b/>
        </w:rPr>
      </w:pPr>
    </w:p>
    <w:p w:rsidR="002B49F6" w:rsidRPr="00B27CD4" w:rsidRDefault="002B49F6" w:rsidP="009640EE">
      <w:pPr>
        <w:spacing w:after="0" w:line="240" w:lineRule="auto"/>
        <w:rPr>
          <w:b/>
        </w:rPr>
      </w:pPr>
    </w:p>
    <w:p w:rsidR="00E52619" w:rsidRDefault="00E52619" w:rsidP="009640EE">
      <w:pPr>
        <w:spacing w:after="0" w:line="240" w:lineRule="auto"/>
      </w:pPr>
    </w:p>
    <w:p w:rsidR="00E52619" w:rsidRDefault="00E52619" w:rsidP="009640EE">
      <w:pPr>
        <w:spacing w:after="0" w:line="240" w:lineRule="auto"/>
      </w:pPr>
    </w:p>
    <w:p w:rsidR="00960973" w:rsidRDefault="00960973" w:rsidP="009640EE">
      <w:pPr>
        <w:spacing w:after="0" w:line="240" w:lineRule="auto"/>
        <w:rPr>
          <w:b/>
          <w:u w:val="single"/>
        </w:rPr>
      </w:pPr>
    </w:p>
    <w:p w:rsidR="00960973" w:rsidRDefault="00960973" w:rsidP="009640EE">
      <w:pPr>
        <w:spacing w:after="0" w:line="240" w:lineRule="auto"/>
        <w:rPr>
          <w:b/>
          <w:u w:val="single"/>
        </w:rPr>
      </w:pPr>
    </w:p>
    <w:p w:rsidR="00960973" w:rsidRDefault="00960973" w:rsidP="009640EE">
      <w:pPr>
        <w:spacing w:after="0" w:line="240" w:lineRule="auto"/>
        <w:rPr>
          <w:b/>
          <w:u w:val="single"/>
        </w:rPr>
      </w:pPr>
    </w:p>
    <w:p w:rsidR="00960973" w:rsidRDefault="00960973" w:rsidP="009640EE">
      <w:pPr>
        <w:spacing w:after="0" w:line="240" w:lineRule="auto"/>
        <w:rPr>
          <w:b/>
          <w:u w:val="single"/>
        </w:rPr>
      </w:pPr>
    </w:p>
    <w:p w:rsidR="00960973" w:rsidRDefault="00960973" w:rsidP="009640EE">
      <w:pPr>
        <w:spacing w:after="0" w:line="240" w:lineRule="auto"/>
        <w:rPr>
          <w:b/>
          <w:u w:val="single"/>
        </w:rPr>
      </w:pPr>
    </w:p>
    <w:p w:rsidR="00960973" w:rsidRDefault="00960973" w:rsidP="009640EE">
      <w:pPr>
        <w:spacing w:after="0" w:line="240" w:lineRule="auto"/>
        <w:rPr>
          <w:b/>
          <w:u w:val="single"/>
        </w:rPr>
      </w:pPr>
    </w:p>
    <w:p w:rsidR="00960973" w:rsidRDefault="00960973" w:rsidP="009640EE">
      <w:pPr>
        <w:spacing w:after="0" w:line="240" w:lineRule="auto"/>
        <w:rPr>
          <w:b/>
          <w:u w:val="single"/>
        </w:rPr>
      </w:pPr>
    </w:p>
    <w:p w:rsidR="00960973" w:rsidRDefault="00960973" w:rsidP="009640EE">
      <w:pPr>
        <w:spacing w:after="0" w:line="240" w:lineRule="auto"/>
        <w:rPr>
          <w:b/>
          <w:u w:val="single"/>
        </w:rPr>
      </w:pPr>
    </w:p>
    <w:p w:rsidR="00960973" w:rsidRDefault="00960973" w:rsidP="009640EE">
      <w:pPr>
        <w:spacing w:after="0" w:line="240" w:lineRule="auto"/>
        <w:rPr>
          <w:b/>
          <w:u w:val="single"/>
        </w:rPr>
      </w:pPr>
    </w:p>
    <w:p w:rsidR="00960973" w:rsidRDefault="00960973" w:rsidP="009640EE">
      <w:pPr>
        <w:spacing w:after="0" w:line="240" w:lineRule="auto"/>
        <w:rPr>
          <w:b/>
          <w:u w:val="single"/>
        </w:rPr>
      </w:pPr>
    </w:p>
    <w:p w:rsidR="006F0325" w:rsidRDefault="006F0325" w:rsidP="009640EE">
      <w:pPr>
        <w:spacing w:after="0" w:line="240" w:lineRule="auto"/>
        <w:rPr>
          <w:b/>
          <w:u w:val="single"/>
        </w:rPr>
      </w:pPr>
    </w:p>
    <w:p w:rsidR="009640EE" w:rsidRPr="009640EE" w:rsidRDefault="009640EE" w:rsidP="009640EE">
      <w:pPr>
        <w:spacing w:after="0" w:line="240" w:lineRule="auto"/>
        <w:rPr>
          <w:b/>
          <w:u w:val="single"/>
        </w:rPr>
      </w:pPr>
      <w:r w:rsidRPr="009640EE">
        <w:rPr>
          <w:b/>
          <w:u w:val="single"/>
        </w:rPr>
        <w:t>Apprenticeship Provision</w:t>
      </w:r>
    </w:p>
    <w:p w:rsidR="009640EE" w:rsidRPr="009640EE" w:rsidRDefault="009640EE" w:rsidP="009640EE">
      <w:pPr>
        <w:spacing w:after="0" w:line="240" w:lineRule="auto"/>
      </w:pPr>
    </w:p>
    <w:p w:rsidR="009640EE" w:rsidRDefault="009640EE" w:rsidP="009640EE">
      <w:pPr>
        <w:spacing w:after="0" w:line="240" w:lineRule="auto"/>
        <w:rPr>
          <w:b/>
        </w:rPr>
      </w:pPr>
      <w:r w:rsidRPr="009640EE">
        <w:rPr>
          <w:b/>
        </w:rPr>
        <w:t>Age</w:t>
      </w:r>
    </w:p>
    <w:p w:rsidR="00B82AF7" w:rsidRPr="009640EE" w:rsidRDefault="00B82AF7" w:rsidP="009640EE">
      <w:pPr>
        <w:spacing w:after="0" w:line="240" w:lineRule="auto"/>
        <w:rPr>
          <w:b/>
        </w:rPr>
      </w:pPr>
    </w:p>
    <w:p w:rsidR="009640EE" w:rsidRPr="009640EE" w:rsidRDefault="009640EE" w:rsidP="009640EE">
      <w:pPr>
        <w:spacing w:after="0" w:line="240" w:lineRule="auto"/>
        <w:rPr>
          <w:b/>
        </w:rPr>
      </w:pPr>
      <w:r w:rsidRPr="009640EE">
        <w:rPr>
          <w:b/>
        </w:rPr>
        <w:t>Overall and Timely achievement by Age - College</w:t>
      </w:r>
    </w:p>
    <w:tbl>
      <w:tblPr>
        <w:tblW w:w="11294" w:type="dxa"/>
        <w:tblInd w:w="-1134" w:type="dxa"/>
        <w:tblLook w:val="04A0" w:firstRow="1" w:lastRow="0" w:firstColumn="1" w:lastColumn="0" w:noHBand="0" w:noVBand="1"/>
      </w:tblPr>
      <w:tblGrid>
        <w:gridCol w:w="708"/>
        <w:gridCol w:w="852"/>
        <w:gridCol w:w="815"/>
        <w:gridCol w:w="772"/>
        <w:gridCol w:w="822"/>
        <w:gridCol w:w="815"/>
        <w:gridCol w:w="772"/>
        <w:gridCol w:w="815"/>
        <w:gridCol w:w="772"/>
        <w:gridCol w:w="785"/>
        <w:gridCol w:w="815"/>
        <w:gridCol w:w="772"/>
        <w:gridCol w:w="815"/>
        <w:gridCol w:w="942"/>
        <w:gridCol w:w="22"/>
      </w:tblGrid>
      <w:tr w:rsidR="00E50BAC" w:rsidRPr="009640EE" w:rsidTr="00E50BAC">
        <w:trPr>
          <w:gridAfter w:val="1"/>
          <w:wAfter w:w="22" w:type="dxa"/>
          <w:trHeight w:val="465"/>
        </w:trPr>
        <w:tc>
          <w:tcPr>
            <w:tcW w:w="708" w:type="dxa"/>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p>
        </w:tc>
        <w:tc>
          <w:tcPr>
            <w:tcW w:w="2439" w:type="dxa"/>
            <w:gridSpan w:val="3"/>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2015/16 QAR</w:t>
            </w:r>
          </w:p>
        </w:tc>
        <w:tc>
          <w:tcPr>
            <w:tcW w:w="2409" w:type="dxa"/>
            <w:gridSpan w:val="3"/>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2016/17 QAR</w:t>
            </w:r>
          </w:p>
        </w:tc>
        <w:tc>
          <w:tcPr>
            <w:tcW w:w="1587" w:type="dxa"/>
            <w:gridSpan w:val="2"/>
            <w:tcBorders>
              <w:top w:val="nil"/>
              <w:left w:val="nil"/>
              <w:bottom w:val="nil"/>
              <w:right w:val="nil"/>
            </w:tcBorders>
            <w:shd w:val="clear" w:color="000000" w:fill="BFBFBF"/>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2016/17             Provider Profile Average</w:t>
            </w:r>
          </w:p>
        </w:tc>
        <w:tc>
          <w:tcPr>
            <w:tcW w:w="2372" w:type="dxa"/>
            <w:gridSpan w:val="3"/>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2017/18</w:t>
            </w:r>
          </w:p>
        </w:tc>
        <w:tc>
          <w:tcPr>
            <w:tcW w:w="1757" w:type="dxa"/>
            <w:gridSpan w:val="2"/>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17/18 Variance to NA</w:t>
            </w:r>
          </w:p>
        </w:tc>
      </w:tr>
      <w:tr w:rsidR="00E50BAC" w:rsidRPr="009640EE" w:rsidTr="00E50BAC">
        <w:trPr>
          <w:trHeight w:val="525"/>
        </w:trPr>
        <w:tc>
          <w:tcPr>
            <w:tcW w:w="708" w:type="dxa"/>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852" w:type="dxa"/>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Cohort</w:t>
            </w:r>
          </w:p>
        </w:tc>
        <w:tc>
          <w:tcPr>
            <w:tcW w:w="815" w:type="dxa"/>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Overall</w:t>
            </w:r>
          </w:p>
        </w:tc>
        <w:tc>
          <w:tcPr>
            <w:tcW w:w="772" w:type="dxa"/>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Timely</w:t>
            </w:r>
          </w:p>
        </w:tc>
        <w:tc>
          <w:tcPr>
            <w:tcW w:w="822" w:type="dxa"/>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Cohort</w:t>
            </w:r>
          </w:p>
        </w:tc>
        <w:tc>
          <w:tcPr>
            <w:tcW w:w="815" w:type="dxa"/>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Overall</w:t>
            </w:r>
          </w:p>
        </w:tc>
        <w:tc>
          <w:tcPr>
            <w:tcW w:w="772" w:type="dxa"/>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Timely</w:t>
            </w:r>
          </w:p>
        </w:tc>
        <w:tc>
          <w:tcPr>
            <w:tcW w:w="815" w:type="dxa"/>
            <w:tcBorders>
              <w:top w:val="nil"/>
              <w:left w:val="nil"/>
              <w:bottom w:val="single" w:sz="8" w:space="0" w:color="9BBB59"/>
              <w:right w:val="nil"/>
            </w:tcBorders>
            <w:shd w:val="clear" w:color="000000" w:fill="BFBFBF"/>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Overall</w:t>
            </w:r>
          </w:p>
        </w:tc>
        <w:tc>
          <w:tcPr>
            <w:tcW w:w="772" w:type="dxa"/>
            <w:tcBorders>
              <w:top w:val="nil"/>
              <w:left w:val="nil"/>
              <w:bottom w:val="single" w:sz="8" w:space="0" w:color="9BBB59"/>
              <w:right w:val="nil"/>
            </w:tcBorders>
            <w:shd w:val="clear" w:color="000000" w:fill="BFBFBF"/>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Timely</w:t>
            </w:r>
          </w:p>
        </w:tc>
        <w:tc>
          <w:tcPr>
            <w:tcW w:w="785" w:type="dxa"/>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Cohort</w:t>
            </w:r>
          </w:p>
        </w:tc>
        <w:tc>
          <w:tcPr>
            <w:tcW w:w="815" w:type="dxa"/>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Overall</w:t>
            </w:r>
          </w:p>
        </w:tc>
        <w:tc>
          <w:tcPr>
            <w:tcW w:w="772" w:type="dxa"/>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Timely</w:t>
            </w:r>
          </w:p>
        </w:tc>
        <w:tc>
          <w:tcPr>
            <w:tcW w:w="815" w:type="dxa"/>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Overall</w:t>
            </w:r>
          </w:p>
        </w:tc>
        <w:tc>
          <w:tcPr>
            <w:tcW w:w="964" w:type="dxa"/>
            <w:gridSpan w:val="2"/>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Timely</w:t>
            </w:r>
          </w:p>
        </w:tc>
      </w:tr>
      <w:tr w:rsidR="00E50BAC" w:rsidRPr="009640EE" w:rsidTr="00E50BAC">
        <w:trPr>
          <w:trHeight w:val="315"/>
        </w:trPr>
        <w:tc>
          <w:tcPr>
            <w:tcW w:w="708" w:type="dxa"/>
            <w:tcBorders>
              <w:top w:val="single" w:sz="8" w:space="0" w:color="9BBB59"/>
              <w:left w:val="single" w:sz="8" w:space="0" w:color="9BBB59"/>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16-18</w:t>
            </w:r>
          </w:p>
        </w:tc>
        <w:tc>
          <w:tcPr>
            <w:tcW w:w="852" w:type="dxa"/>
            <w:tcBorders>
              <w:top w:val="single" w:sz="8" w:space="0" w:color="9BBB59"/>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607</w:t>
            </w:r>
          </w:p>
        </w:tc>
        <w:tc>
          <w:tcPr>
            <w:tcW w:w="815" w:type="dxa"/>
            <w:tcBorders>
              <w:top w:val="single" w:sz="8" w:space="0" w:color="9BBB59"/>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70.3%</w:t>
            </w:r>
          </w:p>
        </w:tc>
        <w:tc>
          <w:tcPr>
            <w:tcW w:w="772" w:type="dxa"/>
            <w:tcBorders>
              <w:top w:val="single" w:sz="8" w:space="0" w:color="9BBB59"/>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58.0%</w:t>
            </w:r>
          </w:p>
        </w:tc>
        <w:tc>
          <w:tcPr>
            <w:tcW w:w="822" w:type="dxa"/>
            <w:tcBorders>
              <w:top w:val="single" w:sz="8" w:space="0" w:color="9BBB59"/>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565</w:t>
            </w:r>
          </w:p>
        </w:tc>
        <w:tc>
          <w:tcPr>
            <w:tcW w:w="815" w:type="dxa"/>
            <w:tcBorders>
              <w:top w:val="single" w:sz="8" w:space="0" w:color="9BBB59"/>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75.8%</w:t>
            </w:r>
          </w:p>
        </w:tc>
        <w:tc>
          <w:tcPr>
            <w:tcW w:w="772" w:type="dxa"/>
            <w:tcBorders>
              <w:top w:val="single" w:sz="8" w:space="0" w:color="9BBB59"/>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71.4%</w:t>
            </w:r>
          </w:p>
        </w:tc>
        <w:tc>
          <w:tcPr>
            <w:tcW w:w="815" w:type="dxa"/>
            <w:tcBorders>
              <w:top w:val="nil"/>
              <w:left w:val="nil"/>
              <w:bottom w:val="single" w:sz="8" w:space="0" w:color="9BBB59"/>
              <w:right w:val="nil"/>
            </w:tcBorders>
            <w:shd w:val="clear" w:color="000000" w:fill="BFBFBF"/>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70.7%</w:t>
            </w:r>
          </w:p>
        </w:tc>
        <w:tc>
          <w:tcPr>
            <w:tcW w:w="772" w:type="dxa"/>
            <w:tcBorders>
              <w:top w:val="nil"/>
              <w:left w:val="nil"/>
              <w:bottom w:val="single" w:sz="8" w:space="0" w:color="9BBB59"/>
              <w:right w:val="nil"/>
            </w:tcBorders>
            <w:shd w:val="clear" w:color="000000" w:fill="BFBFBF"/>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63.0%</w:t>
            </w:r>
          </w:p>
        </w:tc>
        <w:tc>
          <w:tcPr>
            <w:tcW w:w="785" w:type="dxa"/>
            <w:tcBorders>
              <w:top w:val="single" w:sz="8" w:space="0" w:color="9BBB59"/>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547</w:t>
            </w:r>
          </w:p>
        </w:tc>
        <w:tc>
          <w:tcPr>
            <w:tcW w:w="815" w:type="dxa"/>
            <w:tcBorders>
              <w:top w:val="single" w:sz="8" w:space="0" w:color="9BBB59"/>
              <w:left w:val="nil"/>
              <w:bottom w:val="single" w:sz="8" w:space="0" w:color="9BBB59"/>
              <w:right w:val="nil"/>
            </w:tcBorders>
            <w:shd w:val="clear" w:color="auto" w:fill="auto"/>
            <w:noWrap/>
            <w:vAlign w:val="center"/>
            <w:hideMark/>
          </w:tcPr>
          <w:p w:rsidR="009640EE" w:rsidRPr="009640EE" w:rsidRDefault="009640EE" w:rsidP="003F6F89">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71.</w:t>
            </w:r>
            <w:r w:rsidR="003F6F89">
              <w:rPr>
                <w:rFonts w:ascii="Calibri" w:eastAsia="Times New Roman" w:hAnsi="Calibri" w:cs="Times New Roman"/>
                <w:color w:val="000000"/>
                <w:sz w:val="20"/>
                <w:szCs w:val="20"/>
                <w:lang w:eastAsia="en-GB"/>
              </w:rPr>
              <w:t>8</w:t>
            </w:r>
            <w:r w:rsidRPr="009640EE">
              <w:rPr>
                <w:rFonts w:ascii="Calibri" w:eastAsia="Times New Roman" w:hAnsi="Calibri" w:cs="Times New Roman"/>
                <w:color w:val="000000"/>
                <w:sz w:val="20"/>
                <w:szCs w:val="20"/>
                <w:lang w:eastAsia="en-GB"/>
              </w:rPr>
              <w:t>%</w:t>
            </w:r>
          </w:p>
        </w:tc>
        <w:tc>
          <w:tcPr>
            <w:tcW w:w="772" w:type="dxa"/>
            <w:tcBorders>
              <w:top w:val="single" w:sz="8" w:space="0" w:color="9BBB59"/>
              <w:left w:val="nil"/>
              <w:bottom w:val="single" w:sz="8" w:space="0" w:color="9BBB59"/>
              <w:right w:val="nil"/>
            </w:tcBorders>
            <w:shd w:val="clear" w:color="auto" w:fill="auto"/>
            <w:noWrap/>
            <w:vAlign w:val="center"/>
            <w:hideMark/>
          </w:tcPr>
          <w:p w:rsidR="009640EE" w:rsidRPr="009640EE" w:rsidRDefault="009640EE" w:rsidP="003F6F89">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61.</w:t>
            </w:r>
            <w:r w:rsidR="003F6F89">
              <w:rPr>
                <w:rFonts w:ascii="Calibri" w:eastAsia="Times New Roman" w:hAnsi="Calibri" w:cs="Times New Roman"/>
                <w:color w:val="000000"/>
                <w:sz w:val="20"/>
                <w:szCs w:val="20"/>
                <w:lang w:eastAsia="en-GB"/>
              </w:rPr>
              <w:t>3</w:t>
            </w:r>
            <w:r w:rsidRPr="009640EE">
              <w:rPr>
                <w:rFonts w:ascii="Calibri" w:eastAsia="Times New Roman" w:hAnsi="Calibri" w:cs="Times New Roman"/>
                <w:color w:val="000000"/>
                <w:sz w:val="20"/>
                <w:szCs w:val="20"/>
                <w:lang w:eastAsia="en-GB"/>
              </w:rPr>
              <w:t>%</w:t>
            </w:r>
          </w:p>
        </w:tc>
        <w:tc>
          <w:tcPr>
            <w:tcW w:w="815" w:type="dxa"/>
            <w:tcBorders>
              <w:top w:val="single" w:sz="8" w:space="0" w:color="9BBB59"/>
              <w:left w:val="nil"/>
              <w:bottom w:val="single" w:sz="8" w:space="0" w:color="9BBB59"/>
              <w:right w:val="single" w:sz="8" w:space="0" w:color="9BBB59"/>
            </w:tcBorders>
            <w:shd w:val="clear" w:color="auto" w:fill="auto"/>
            <w:noWrap/>
            <w:vAlign w:val="center"/>
            <w:hideMark/>
          </w:tcPr>
          <w:p w:rsidR="009640EE" w:rsidRPr="009640EE" w:rsidRDefault="009640EE" w:rsidP="003F6F89">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w:t>
            </w:r>
            <w:r w:rsidR="003F6F89">
              <w:rPr>
                <w:rFonts w:ascii="Calibri" w:eastAsia="Times New Roman" w:hAnsi="Calibri" w:cs="Times New Roman"/>
                <w:color w:val="000000"/>
                <w:sz w:val="20"/>
                <w:szCs w:val="20"/>
                <w:lang w:eastAsia="en-GB"/>
              </w:rPr>
              <w:t>1</w:t>
            </w:r>
            <w:r w:rsidRPr="009640EE">
              <w:rPr>
                <w:rFonts w:ascii="Calibri" w:eastAsia="Times New Roman" w:hAnsi="Calibri" w:cs="Times New Roman"/>
                <w:color w:val="000000"/>
                <w:sz w:val="20"/>
                <w:szCs w:val="20"/>
                <w:lang w:eastAsia="en-GB"/>
              </w:rPr>
              <w:t>%</w:t>
            </w:r>
          </w:p>
        </w:tc>
        <w:tc>
          <w:tcPr>
            <w:tcW w:w="964" w:type="dxa"/>
            <w:gridSpan w:val="2"/>
            <w:tcBorders>
              <w:top w:val="single" w:sz="8" w:space="0" w:color="9BBB59"/>
              <w:left w:val="nil"/>
              <w:bottom w:val="single" w:sz="8" w:space="0" w:color="9BBB59"/>
              <w:right w:val="single" w:sz="8" w:space="0" w:color="9BBB59"/>
            </w:tcBorders>
            <w:shd w:val="clear" w:color="auto" w:fill="auto"/>
            <w:noWrap/>
            <w:vAlign w:val="center"/>
            <w:hideMark/>
          </w:tcPr>
          <w:p w:rsidR="009640EE" w:rsidRPr="009640EE" w:rsidRDefault="009640EE" w:rsidP="003F6F89">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w:t>
            </w:r>
            <w:r w:rsidR="003F6F89">
              <w:rPr>
                <w:rFonts w:ascii="Calibri" w:eastAsia="Times New Roman" w:hAnsi="Calibri" w:cs="Times New Roman"/>
                <w:color w:val="000000"/>
                <w:sz w:val="20"/>
                <w:szCs w:val="20"/>
                <w:lang w:eastAsia="en-GB"/>
              </w:rPr>
              <w:t>7</w:t>
            </w:r>
            <w:r w:rsidRPr="009640EE">
              <w:rPr>
                <w:rFonts w:ascii="Calibri" w:eastAsia="Times New Roman" w:hAnsi="Calibri" w:cs="Times New Roman"/>
                <w:color w:val="000000"/>
                <w:sz w:val="20"/>
                <w:szCs w:val="20"/>
                <w:lang w:eastAsia="en-GB"/>
              </w:rPr>
              <w:t>%</w:t>
            </w:r>
          </w:p>
        </w:tc>
      </w:tr>
      <w:tr w:rsidR="00E50BAC" w:rsidRPr="009640EE" w:rsidTr="00E50BAC">
        <w:trPr>
          <w:trHeight w:val="315"/>
        </w:trPr>
        <w:tc>
          <w:tcPr>
            <w:tcW w:w="708" w:type="dxa"/>
            <w:tcBorders>
              <w:top w:val="nil"/>
              <w:left w:val="single" w:sz="8" w:space="0" w:color="9BBB59"/>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19-23</w:t>
            </w:r>
          </w:p>
        </w:tc>
        <w:tc>
          <w:tcPr>
            <w:tcW w:w="852" w:type="dxa"/>
            <w:tcBorders>
              <w:top w:val="nil"/>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647</w:t>
            </w:r>
          </w:p>
        </w:tc>
        <w:tc>
          <w:tcPr>
            <w:tcW w:w="815" w:type="dxa"/>
            <w:tcBorders>
              <w:top w:val="nil"/>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70.9%</w:t>
            </w:r>
          </w:p>
        </w:tc>
        <w:tc>
          <w:tcPr>
            <w:tcW w:w="772" w:type="dxa"/>
            <w:tcBorders>
              <w:top w:val="nil"/>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58.9%</w:t>
            </w:r>
          </w:p>
        </w:tc>
        <w:tc>
          <w:tcPr>
            <w:tcW w:w="822" w:type="dxa"/>
            <w:tcBorders>
              <w:top w:val="nil"/>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469</w:t>
            </w:r>
          </w:p>
        </w:tc>
        <w:tc>
          <w:tcPr>
            <w:tcW w:w="815" w:type="dxa"/>
            <w:tcBorders>
              <w:top w:val="nil"/>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69.9%</w:t>
            </w:r>
          </w:p>
        </w:tc>
        <w:tc>
          <w:tcPr>
            <w:tcW w:w="772" w:type="dxa"/>
            <w:tcBorders>
              <w:top w:val="nil"/>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63.5%</w:t>
            </w:r>
          </w:p>
        </w:tc>
        <w:tc>
          <w:tcPr>
            <w:tcW w:w="815" w:type="dxa"/>
            <w:tcBorders>
              <w:top w:val="nil"/>
              <w:left w:val="nil"/>
              <w:bottom w:val="single" w:sz="8" w:space="0" w:color="9BBB59"/>
              <w:right w:val="nil"/>
            </w:tcBorders>
            <w:shd w:val="clear" w:color="000000" w:fill="BFBFBF"/>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70.6%</w:t>
            </w:r>
          </w:p>
        </w:tc>
        <w:tc>
          <w:tcPr>
            <w:tcW w:w="772" w:type="dxa"/>
            <w:tcBorders>
              <w:top w:val="nil"/>
              <w:left w:val="nil"/>
              <w:bottom w:val="single" w:sz="8" w:space="0" w:color="9BBB59"/>
              <w:right w:val="nil"/>
            </w:tcBorders>
            <w:shd w:val="clear" w:color="000000" w:fill="BFBFBF"/>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62.8%</w:t>
            </w:r>
          </w:p>
        </w:tc>
        <w:tc>
          <w:tcPr>
            <w:tcW w:w="785" w:type="dxa"/>
            <w:tcBorders>
              <w:top w:val="nil"/>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545</w:t>
            </w:r>
          </w:p>
        </w:tc>
        <w:tc>
          <w:tcPr>
            <w:tcW w:w="815" w:type="dxa"/>
            <w:tcBorders>
              <w:top w:val="nil"/>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71.0%</w:t>
            </w:r>
          </w:p>
        </w:tc>
        <w:tc>
          <w:tcPr>
            <w:tcW w:w="772" w:type="dxa"/>
            <w:tcBorders>
              <w:top w:val="nil"/>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63.8%</w:t>
            </w:r>
          </w:p>
        </w:tc>
        <w:tc>
          <w:tcPr>
            <w:tcW w:w="815" w:type="dxa"/>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0.4%</w:t>
            </w:r>
          </w:p>
        </w:tc>
        <w:tc>
          <w:tcPr>
            <w:tcW w:w="964" w:type="dxa"/>
            <w:gridSpan w:val="2"/>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1.0%</w:t>
            </w:r>
          </w:p>
        </w:tc>
      </w:tr>
      <w:tr w:rsidR="00E50BAC" w:rsidRPr="009640EE" w:rsidTr="00E50BAC">
        <w:trPr>
          <w:trHeight w:val="315"/>
        </w:trPr>
        <w:tc>
          <w:tcPr>
            <w:tcW w:w="708" w:type="dxa"/>
            <w:tcBorders>
              <w:top w:val="nil"/>
              <w:left w:val="single" w:sz="8" w:space="0" w:color="9BBB59"/>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24+</w:t>
            </w:r>
          </w:p>
        </w:tc>
        <w:tc>
          <w:tcPr>
            <w:tcW w:w="852" w:type="dxa"/>
            <w:tcBorders>
              <w:top w:val="nil"/>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747</w:t>
            </w:r>
          </w:p>
        </w:tc>
        <w:tc>
          <w:tcPr>
            <w:tcW w:w="815" w:type="dxa"/>
            <w:tcBorders>
              <w:top w:val="nil"/>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75.4%</w:t>
            </w:r>
          </w:p>
        </w:tc>
        <w:tc>
          <w:tcPr>
            <w:tcW w:w="772" w:type="dxa"/>
            <w:tcBorders>
              <w:top w:val="nil"/>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59.7%</w:t>
            </w:r>
          </w:p>
        </w:tc>
        <w:tc>
          <w:tcPr>
            <w:tcW w:w="822" w:type="dxa"/>
            <w:tcBorders>
              <w:top w:val="nil"/>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564</w:t>
            </w:r>
          </w:p>
        </w:tc>
        <w:tc>
          <w:tcPr>
            <w:tcW w:w="815" w:type="dxa"/>
            <w:tcBorders>
              <w:top w:val="nil"/>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66.1%</w:t>
            </w:r>
          </w:p>
        </w:tc>
        <w:tc>
          <w:tcPr>
            <w:tcW w:w="772" w:type="dxa"/>
            <w:tcBorders>
              <w:top w:val="nil"/>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56.2%</w:t>
            </w:r>
          </w:p>
        </w:tc>
        <w:tc>
          <w:tcPr>
            <w:tcW w:w="815" w:type="dxa"/>
            <w:tcBorders>
              <w:top w:val="nil"/>
              <w:left w:val="nil"/>
              <w:bottom w:val="single" w:sz="8" w:space="0" w:color="9BBB59"/>
              <w:right w:val="nil"/>
            </w:tcBorders>
            <w:shd w:val="clear" w:color="000000" w:fill="BFBFBF"/>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67.0%</w:t>
            </w:r>
          </w:p>
        </w:tc>
        <w:tc>
          <w:tcPr>
            <w:tcW w:w="772" w:type="dxa"/>
            <w:tcBorders>
              <w:top w:val="nil"/>
              <w:left w:val="nil"/>
              <w:bottom w:val="single" w:sz="8" w:space="0" w:color="9BBB59"/>
              <w:right w:val="nil"/>
            </w:tcBorders>
            <w:shd w:val="clear" w:color="000000" w:fill="BFBFBF"/>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56.4%</w:t>
            </w:r>
          </w:p>
        </w:tc>
        <w:tc>
          <w:tcPr>
            <w:tcW w:w="785" w:type="dxa"/>
            <w:tcBorders>
              <w:top w:val="nil"/>
              <w:left w:val="nil"/>
              <w:bottom w:val="single" w:sz="8" w:space="0" w:color="9BBB59"/>
              <w:right w:val="nil"/>
            </w:tcBorders>
            <w:shd w:val="clear" w:color="auto" w:fill="auto"/>
            <w:noWrap/>
            <w:vAlign w:val="center"/>
            <w:hideMark/>
          </w:tcPr>
          <w:p w:rsidR="009640EE" w:rsidRPr="009640EE" w:rsidRDefault="009640EE" w:rsidP="003F6F89">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85</w:t>
            </w:r>
            <w:r w:rsidR="003F6F89">
              <w:rPr>
                <w:rFonts w:ascii="Calibri" w:eastAsia="Times New Roman" w:hAnsi="Calibri" w:cs="Times New Roman"/>
                <w:color w:val="000000"/>
                <w:sz w:val="20"/>
                <w:szCs w:val="20"/>
                <w:lang w:eastAsia="en-GB"/>
              </w:rPr>
              <w:t>5</w:t>
            </w:r>
          </w:p>
        </w:tc>
        <w:tc>
          <w:tcPr>
            <w:tcW w:w="815" w:type="dxa"/>
            <w:tcBorders>
              <w:top w:val="nil"/>
              <w:left w:val="nil"/>
              <w:bottom w:val="single" w:sz="8" w:space="0" w:color="9BBB59"/>
              <w:right w:val="nil"/>
            </w:tcBorders>
            <w:shd w:val="clear" w:color="auto" w:fill="auto"/>
            <w:noWrap/>
            <w:vAlign w:val="center"/>
            <w:hideMark/>
          </w:tcPr>
          <w:p w:rsidR="009640EE" w:rsidRPr="009640EE" w:rsidRDefault="009640EE" w:rsidP="003F6F89">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68.</w:t>
            </w:r>
            <w:r w:rsidR="003F6F89">
              <w:rPr>
                <w:rFonts w:ascii="Calibri" w:eastAsia="Times New Roman" w:hAnsi="Calibri" w:cs="Times New Roman"/>
                <w:color w:val="000000"/>
                <w:sz w:val="20"/>
                <w:szCs w:val="20"/>
                <w:lang w:eastAsia="en-GB"/>
              </w:rPr>
              <w:t>7</w:t>
            </w:r>
            <w:r w:rsidRPr="009640EE">
              <w:rPr>
                <w:rFonts w:ascii="Calibri" w:eastAsia="Times New Roman" w:hAnsi="Calibri" w:cs="Times New Roman"/>
                <w:color w:val="000000"/>
                <w:sz w:val="20"/>
                <w:szCs w:val="20"/>
                <w:lang w:eastAsia="en-GB"/>
              </w:rPr>
              <w:t>%</w:t>
            </w:r>
          </w:p>
        </w:tc>
        <w:tc>
          <w:tcPr>
            <w:tcW w:w="772" w:type="dxa"/>
            <w:tcBorders>
              <w:top w:val="nil"/>
              <w:left w:val="nil"/>
              <w:bottom w:val="single" w:sz="8" w:space="0" w:color="9BBB59"/>
              <w:right w:val="nil"/>
            </w:tcBorders>
            <w:shd w:val="clear" w:color="auto" w:fill="auto"/>
            <w:noWrap/>
            <w:vAlign w:val="center"/>
            <w:hideMark/>
          </w:tcPr>
          <w:p w:rsidR="009640EE" w:rsidRPr="009640EE" w:rsidRDefault="009640EE" w:rsidP="003F6F89">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5</w:t>
            </w:r>
            <w:r w:rsidR="003F6F89">
              <w:rPr>
                <w:rFonts w:ascii="Calibri" w:eastAsia="Times New Roman" w:hAnsi="Calibri" w:cs="Times New Roman"/>
                <w:color w:val="000000"/>
                <w:sz w:val="20"/>
                <w:szCs w:val="20"/>
                <w:lang w:eastAsia="en-GB"/>
              </w:rPr>
              <w:t>6.3</w:t>
            </w:r>
            <w:r w:rsidRPr="009640EE">
              <w:rPr>
                <w:rFonts w:ascii="Calibri" w:eastAsia="Times New Roman" w:hAnsi="Calibri" w:cs="Times New Roman"/>
                <w:color w:val="000000"/>
                <w:sz w:val="20"/>
                <w:szCs w:val="20"/>
                <w:lang w:eastAsia="en-GB"/>
              </w:rPr>
              <w:t>%</w:t>
            </w:r>
          </w:p>
        </w:tc>
        <w:tc>
          <w:tcPr>
            <w:tcW w:w="815" w:type="dxa"/>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3F6F89">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w:t>
            </w:r>
            <w:r w:rsidR="003F6F89">
              <w:rPr>
                <w:rFonts w:ascii="Calibri" w:eastAsia="Times New Roman" w:hAnsi="Calibri" w:cs="Times New Roman"/>
                <w:color w:val="000000"/>
                <w:sz w:val="20"/>
                <w:szCs w:val="20"/>
                <w:lang w:eastAsia="en-GB"/>
              </w:rPr>
              <w:t>7</w:t>
            </w:r>
            <w:r w:rsidRPr="009640EE">
              <w:rPr>
                <w:rFonts w:ascii="Calibri" w:eastAsia="Times New Roman" w:hAnsi="Calibri" w:cs="Times New Roman"/>
                <w:color w:val="000000"/>
                <w:sz w:val="20"/>
                <w:szCs w:val="20"/>
                <w:lang w:eastAsia="en-GB"/>
              </w:rPr>
              <w:t>%</w:t>
            </w:r>
          </w:p>
        </w:tc>
        <w:tc>
          <w:tcPr>
            <w:tcW w:w="964" w:type="dxa"/>
            <w:gridSpan w:val="2"/>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-0.7%</w:t>
            </w:r>
          </w:p>
        </w:tc>
      </w:tr>
      <w:tr w:rsidR="00E50BAC" w:rsidRPr="009640EE" w:rsidTr="00E50BAC">
        <w:trPr>
          <w:trHeight w:val="315"/>
        </w:trPr>
        <w:tc>
          <w:tcPr>
            <w:tcW w:w="708" w:type="dxa"/>
            <w:tcBorders>
              <w:top w:val="nil"/>
              <w:left w:val="single" w:sz="8" w:space="0" w:color="9BBB59"/>
              <w:bottom w:val="single" w:sz="8" w:space="0" w:color="9BBB59"/>
              <w:right w:val="single" w:sz="8" w:space="0" w:color="9BBB59"/>
            </w:tcBorders>
            <w:shd w:val="clear" w:color="000000" w:fill="BFBFBF"/>
            <w:noWrap/>
            <w:vAlign w:val="center"/>
            <w:hideMark/>
          </w:tcPr>
          <w:p w:rsidR="009640EE" w:rsidRPr="009640EE" w:rsidRDefault="009640EE" w:rsidP="009640EE">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MAX GAP</w:t>
            </w:r>
          </w:p>
        </w:tc>
        <w:tc>
          <w:tcPr>
            <w:tcW w:w="852" w:type="dxa"/>
            <w:tcBorders>
              <w:top w:val="nil"/>
              <w:left w:val="nil"/>
              <w:bottom w:val="single" w:sz="8" w:space="0" w:color="9BBB59"/>
              <w:right w:val="nil"/>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815" w:type="dxa"/>
            <w:tcBorders>
              <w:top w:val="nil"/>
              <w:left w:val="nil"/>
              <w:bottom w:val="single" w:sz="8" w:space="0" w:color="9BBB59"/>
              <w:right w:val="nil"/>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5.1%</w:t>
            </w:r>
          </w:p>
        </w:tc>
        <w:tc>
          <w:tcPr>
            <w:tcW w:w="772" w:type="dxa"/>
            <w:tcBorders>
              <w:top w:val="nil"/>
              <w:left w:val="nil"/>
              <w:bottom w:val="single" w:sz="8" w:space="0" w:color="9BBB59"/>
              <w:right w:val="nil"/>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1.7%</w:t>
            </w:r>
          </w:p>
        </w:tc>
        <w:tc>
          <w:tcPr>
            <w:tcW w:w="822" w:type="dxa"/>
            <w:tcBorders>
              <w:top w:val="nil"/>
              <w:left w:val="nil"/>
              <w:bottom w:val="single" w:sz="8" w:space="0" w:color="9BBB59"/>
              <w:right w:val="nil"/>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815" w:type="dxa"/>
            <w:tcBorders>
              <w:top w:val="nil"/>
              <w:left w:val="nil"/>
              <w:bottom w:val="single" w:sz="8" w:space="0" w:color="9BBB59"/>
              <w:right w:val="nil"/>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9.7%</w:t>
            </w:r>
          </w:p>
        </w:tc>
        <w:tc>
          <w:tcPr>
            <w:tcW w:w="772" w:type="dxa"/>
            <w:tcBorders>
              <w:top w:val="nil"/>
              <w:left w:val="nil"/>
              <w:bottom w:val="single" w:sz="8" w:space="0" w:color="9BBB59"/>
              <w:right w:val="nil"/>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15.2%</w:t>
            </w:r>
          </w:p>
        </w:tc>
        <w:tc>
          <w:tcPr>
            <w:tcW w:w="815" w:type="dxa"/>
            <w:tcBorders>
              <w:top w:val="nil"/>
              <w:left w:val="nil"/>
              <w:bottom w:val="single" w:sz="8" w:space="0" w:color="9BBB59"/>
              <w:right w:val="nil"/>
            </w:tcBorders>
            <w:shd w:val="clear" w:color="000000" w:fill="BFBFBF"/>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3.7%</w:t>
            </w:r>
          </w:p>
        </w:tc>
        <w:tc>
          <w:tcPr>
            <w:tcW w:w="772" w:type="dxa"/>
            <w:tcBorders>
              <w:top w:val="nil"/>
              <w:left w:val="nil"/>
              <w:bottom w:val="single" w:sz="8" w:space="0" w:color="9BBB59"/>
              <w:right w:val="nil"/>
            </w:tcBorders>
            <w:shd w:val="clear" w:color="000000" w:fill="BFBFBF"/>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6.6%</w:t>
            </w:r>
          </w:p>
        </w:tc>
        <w:tc>
          <w:tcPr>
            <w:tcW w:w="785" w:type="dxa"/>
            <w:tcBorders>
              <w:top w:val="nil"/>
              <w:left w:val="nil"/>
              <w:bottom w:val="single" w:sz="8" w:space="0" w:color="9BBB59"/>
              <w:right w:val="nil"/>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815" w:type="dxa"/>
            <w:tcBorders>
              <w:top w:val="nil"/>
              <w:left w:val="nil"/>
              <w:bottom w:val="single" w:sz="8" w:space="0" w:color="9BBB59"/>
              <w:right w:val="nil"/>
            </w:tcBorders>
            <w:shd w:val="clear" w:color="000000" w:fill="BFBFBF"/>
            <w:noWrap/>
            <w:vAlign w:val="center"/>
            <w:hideMark/>
          </w:tcPr>
          <w:p w:rsidR="009640EE" w:rsidRPr="009640EE" w:rsidRDefault="009640EE" w:rsidP="003F6F89">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3.</w:t>
            </w:r>
            <w:r w:rsidR="003F6F89">
              <w:rPr>
                <w:rFonts w:ascii="Calibri" w:eastAsia="Times New Roman" w:hAnsi="Calibri" w:cs="Times New Roman"/>
                <w:color w:val="000000"/>
                <w:sz w:val="20"/>
                <w:szCs w:val="20"/>
                <w:lang w:eastAsia="en-GB"/>
              </w:rPr>
              <w:t>1</w:t>
            </w:r>
            <w:r w:rsidRPr="009640EE">
              <w:rPr>
                <w:rFonts w:ascii="Calibri" w:eastAsia="Times New Roman" w:hAnsi="Calibri" w:cs="Times New Roman"/>
                <w:color w:val="000000"/>
                <w:sz w:val="20"/>
                <w:szCs w:val="20"/>
                <w:lang w:eastAsia="en-GB"/>
              </w:rPr>
              <w:t>%</w:t>
            </w:r>
          </w:p>
        </w:tc>
        <w:tc>
          <w:tcPr>
            <w:tcW w:w="772" w:type="dxa"/>
            <w:tcBorders>
              <w:top w:val="nil"/>
              <w:left w:val="nil"/>
              <w:bottom w:val="single" w:sz="8" w:space="0" w:color="9BBB59"/>
              <w:right w:val="nil"/>
            </w:tcBorders>
            <w:shd w:val="clear" w:color="000000" w:fill="BFBFBF"/>
            <w:noWrap/>
            <w:vAlign w:val="center"/>
            <w:hideMark/>
          </w:tcPr>
          <w:p w:rsidR="009640EE" w:rsidRPr="009640EE" w:rsidRDefault="003F6F89" w:rsidP="009640EE">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5.0</w:t>
            </w:r>
            <w:r w:rsidR="009640EE" w:rsidRPr="009640EE">
              <w:rPr>
                <w:rFonts w:ascii="Calibri" w:eastAsia="Times New Roman" w:hAnsi="Calibri" w:cs="Times New Roman"/>
                <w:color w:val="000000"/>
                <w:sz w:val="20"/>
                <w:szCs w:val="20"/>
                <w:lang w:eastAsia="en-GB"/>
              </w:rPr>
              <w:t>%</w:t>
            </w:r>
          </w:p>
        </w:tc>
        <w:tc>
          <w:tcPr>
            <w:tcW w:w="815" w:type="dxa"/>
            <w:tcBorders>
              <w:top w:val="nil"/>
              <w:left w:val="nil"/>
              <w:bottom w:val="single" w:sz="8" w:space="0" w:color="9BBB59"/>
              <w:right w:val="single" w:sz="8" w:space="0" w:color="9BBB59"/>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964" w:type="dxa"/>
            <w:gridSpan w:val="2"/>
            <w:tcBorders>
              <w:top w:val="nil"/>
              <w:left w:val="nil"/>
              <w:bottom w:val="single" w:sz="8" w:space="0" w:color="9BBB59"/>
              <w:right w:val="single" w:sz="8" w:space="0" w:color="9BBB59"/>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r>
    </w:tbl>
    <w:p w:rsidR="009640EE" w:rsidRPr="009640EE" w:rsidRDefault="009640EE" w:rsidP="009640EE">
      <w:pPr>
        <w:spacing w:after="0" w:line="240" w:lineRule="auto"/>
        <w:rPr>
          <w:b/>
        </w:rPr>
      </w:pPr>
    </w:p>
    <w:p w:rsidR="00B82AF7" w:rsidRDefault="00B82AF7" w:rsidP="009640EE">
      <w:pPr>
        <w:spacing w:after="0" w:line="240" w:lineRule="auto"/>
        <w:rPr>
          <w:b/>
        </w:rPr>
      </w:pPr>
    </w:p>
    <w:p w:rsidR="009640EE" w:rsidRPr="009640EE" w:rsidRDefault="009640EE" w:rsidP="009640EE">
      <w:pPr>
        <w:spacing w:after="0" w:line="240" w:lineRule="auto"/>
        <w:rPr>
          <w:b/>
        </w:rPr>
      </w:pPr>
      <w:r w:rsidRPr="009640EE">
        <w:rPr>
          <w:b/>
        </w:rPr>
        <w:t>Overall and Timely achievement by Age – LU Derby</w:t>
      </w:r>
    </w:p>
    <w:tbl>
      <w:tblPr>
        <w:tblpPr w:leftFromText="180" w:rightFromText="180" w:vertAnchor="page" w:horzAnchor="margin" w:tblpXSpec="center" w:tblpY="6033"/>
        <w:tblW w:w="11274" w:type="dxa"/>
        <w:tblLook w:val="04A0" w:firstRow="1" w:lastRow="0" w:firstColumn="1" w:lastColumn="0" w:noHBand="0" w:noVBand="1"/>
      </w:tblPr>
      <w:tblGrid>
        <w:gridCol w:w="773"/>
        <w:gridCol w:w="785"/>
        <w:gridCol w:w="815"/>
        <w:gridCol w:w="772"/>
        <w:gridCol w:w="785"/>
        <w:gridCol w:w="815"/>
        <w:gridCol w:w="772"/>
        <w:gridCol w:w="815"/>
        <w:gridCol w:w="772"/>
        <w:gridCol w:w="785"/>
        <w:gridCol w:w="815"/>
        <w:gridCol w:w="772"/>
        <w:gridCol w:w="815"/>
        <w:gridCol w:w="983"/>
      </w:tblGrid>
      <w:tr w:rsidR="006F0325" w:rsidRPr="009640EE" w:rsidTr="006F0325">
        <w:trPr>
          <w:trHeight w:val="840"/>
        </w:trPr>
        <w:tc>
          <w:tcPr>
            <w:tcW w:w="773" w:type="dxa"/>
            <w:tcBorders>
              <w:top w:val="nil"/>
              <w:left w:val="nil"/>
              <w:bottom w:val="nil"/>
              <w:right w:val="nil"/>
            </w:tcBorders>
            <w:shd w:val="clear" w:color="auto" w:fill="C6D9F1" w:themeFill="text2" w:themeFillTint="33"/>
            <w:noWrap/>
            <w:vAlign w:val="center"/>
            <w:hideMark/>
          </w:tcPr>
          <w:p w:rsidR="006F0325" w:rsidRPr="009640EE" w:rsidRDefault="006F0325" w:rsidP="006F0325">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0" w:type="auto"/>
            <w:gridSpan w:val="3"/>
            <w:tcBorders>
              <w:top w:val="nil"/>
              <w:left w:val="nil"/>
              <w:bottom w:val="nil"/>
              <w:right w:val="nil"/>
            </w:tcBorders>
            <w:shd w:val="clear" w:color="auto" w:fill="C6D9F1" w:themeFill="text2" w:themeFillTint="33"/>
            <w:noWrap/>
            <w:vAlign w:val="center"/>
            <w:hideMark/>
          </w:tcPr>
          <w:p w:rsidR="006F0325" w:rsidRPr="009640EE" w:rsidRDefault="006F0325" w:rsidP="006F0325">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2015/16 QAR</w:t>
            </w:r>
          </w:p>
        </w:tc>
        <w:tc>
          <w:tcPr>
            <w:tcW w:w="0" w:type="auto"/>
            <w:gridSpan w:val="3"/>
            <w:tcBorders>
              <w:top w:val="nil"/>
              <w:left w:val="nil"/>
              <w:bottom w:val="nil"/>
              <w:right w:val="nil"/>
            </w:tcBorders>
            <w:shd w:val="clear" w:color="auto" w:fill="C6D9F1" w:themeFill="text2" w:themeFillTint="33"/>
            <w:noWrap/>
            <w:vAlign w:val="center"/>
            <w:hideMark/>
          </w:tcPr>
          <w:p w:rsidR="006F0325" w:rsidRPr="009640EE" w:rsidRDefault="006F0325" w:rsidP="006F0325">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2016/17 QAR</w:t>
            </w:r>
          </w:p>
        </w:tc>
        <w:tc>
          <w:tcPr>
            <w:tcW w:w="0" w:type="auto"/>
            <w:gridSpan w:val="2"/>
            <w:tcBorders>
              <w:top w:val="nil"/>
              <w:left w:val="nil"/>
              <w:bottom w:val="nil"/>
              <w:right w:val="nil"/>
            </w:tcBorders>
            <w:shd w:val="clear" w:color="000000" w:fill="BFBFBF"/>
            <w:vAlign w:val="center"/>
            <w:hideMark/>
          </w:tcPr>
          <w:p w:rsidR="006F0325" w:rsidRPr="009640EE" w:rsidRDefault="006F0325" w:rsidP="006F0325">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2016/17             Provider Profile Average</w:t>
            </w:r>
          </w:p>
        </w:tc>
        <w:tc>
          <w:tcPr>
            <w:tcW w:w="0" w:type="auto"/>
            <w:gridSpan w:val="3"/>
            <w:tcBorders>
              <w:top w:val="nil"/>
              <w:left w:val="nil"/>
              <w:bottom w:val="nil"/>
              <w:right w:val="nil"/>
            </w:tcBorders>
            <w:shd w:val="clear" w:color="auto" w:fill="C6D9F1" w:themeFill="text2" w:themeFillTint="33"/>
            <w:noWrap/>
            <w:vAlign w:val="center"/>
            <w:hideMark/>
          </w:tcPr>
          <w:p w:rsidR="006F0325" w:rsidRPr="009640EE" w:rsidRDefault="006F0325" w:rsidP="006F0325">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2017/18</w:t>
            </w:r>
          </w:p>
        </w:tc>
        <w:tc>
          <w:tcPr>
            <w:tcW w:w="1798" w:type="dxa"/>
            <w:gridSpan w:val="2"/>
            <w:tcBorders>
              <w:top w:val="nil"/>
              <w:left w:val="nil"/>
              <w:bottom w:val="nil"/>
              <w:right w:val="nil"/>
            </w:tcBorders>
            <w:shd w:val="clear" w:color="auto" w:fill="C6D9F1" w:themeFill="text2" w:themeFillTint="33"/>
            <w:noWrap/>
            <w:vAlign w:val="center"/>
            <w:hideMark/>
          </w:tcPr>
          <w:p w:rsidR="006F0325" w:rsidRPr="009640EE" w:rsidRDefault="006F0325" w:rsidP="006F0325">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17/18 Variance to NA</w:t>
            </w:r>
          </w:p>
        </w:tc>
      </w:tr>
      <w:tr w:rsidR="006F0325" w:rsidRPr="009640EE" w:rsidTr="006F0325">
        <w:trPr>
          <w:trHeight w:val="525"/>
        </w:trPr>
        <w:tc>
          <w:tcPr>
            <w:tcW w:w="773" w:type="dxa"/>
            <w:tcBorders>
              <w:top w:val="nil"/>
              <w:left w:val="nil"/>
              <w:bottom w:val="nil"/>
              <w:right w:val="nil"/>
            </w:tcBorders>
            <w:shd w:val="clear" w:color="auto" w:fill="C6D9F1" w:themeFill="text2" w:themeFillTint="33"/>
            <w:noWrap/>
            <w:vAlign w:val="center"/>
            <w:hideMark/>
          </w:tcPr>
          <w:p w:rsidR="006F0325" w:rsidRPr="009640EE" w:rsidRDefault="006F0325" w:rsidP="006F0325">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0" w:type="auto"/>
            <w:tcBorders>
              <w:top w:val="nil"/>
              <w:left w:val="nil"/>
              <w:bottom w:val="nil"/>
              <w:right w:val="nil"/>
            </w:tcBorders>
            <w:shd w:val="clear" w:color="auto" w:fill="C6D9F1" w:themeFill="text2" w:themeFillTint="33"/>
            <w:noWrap/>
            <w:vAlign w:val="center"/>
            <w:hideMark/>
          </w:tcPr>
          <w:p w:rsidR="006F0325" w:rsidRPr="009640EE" w:rsidRDefault="006F0325" w:rsidP="006F0325">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Cohort</w:t>
            </w:r>
          </w:p>
        </w:tc>
        <w:tc>
          <w:tcPr>
            <w:tcW w:w="0" w:type="auto"/>
            <w:tcBorders>
              <w:top w:val="nil"/>
              <w:left w:val="nil"/>
              <w:bottom w:val="nil"/>
              <w:right w:val="nil"/>
            </w:tcBorders>
            <w:shd w:val="clear" w:color="auto" w:fill="C6D9F1" w:themeFill="text2" w:themeFillTint="33"/>
            <w:noWrap/>
            <w:vAlign w:val="center"/>
            <w:hideMark/>
          </w:tcPr>
          <w:p w:rsidR="006F0325" w:rsidRPr="009640EE" w:rsidRDefault="006F0325" w:rsidP="006F0325">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Overall</w:t>
            </w:r>
          </w:p>
        </w:tc>
        <w:tc>
          <w:tcPr>
            <w:tcW w:w="0" w:type="auto"/>
            <w:tcBorders>
              <w:top w:val="nil"/>
              <w:left w:val="nil"/>
              <w:bottom w:val="nil"/>
              <w:right w:val="nil"/>
            </w:tcBorders>
            <w:shd w:val="clear" w:color="auto" w:fill="C6D9F1" w:themeFill="text2" w:themeFillTint="33"/>
            <w:noWrap/>
            <w:vAlign w:val="center"/>
            <w:hideMark/>
          </w:tcPr>
          <w:p w:rsidR="006F0325" w:rsidRPr="009640EE" w:rsidRDefault="006F0325" w:rsidP="006F0325">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Timely</w:t>
            </w:r>
          </w:p>
        </w:tc>
        <w:tc>
          <w:tcPr>
            <w:tcW w:w="0" w:type="auto"/>
            <w:tcBorders>
              <w:top w:val="nil"/>
              <w:left w:val="nil"/>
              <w:bottom w:val="nil"/>
              <w:right w:val="nil"/>
            </w:tcBorders>
            <w:shd w:val="clear" w:color="auto" w:fill="C6D9F1" w:themeFill="text2" w:themeFillTint="33"/>
            <w:noWrap/>
            <w:vAlign w:val="center"/>
            <w:hideMark/>
          </w:tcPr>
          <w:p w:rsidR="006F0325" w:rsidRPr="009640EE" w:rsidRDefault="006F0325" w:rsidP="006F0325">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Cohort</w:t>
            </w:r>
          </w:p>
        </w:tc>
        <w:tc>
          <w:tcPr>
            <w:tcW w:w="0" w:type="auto"/>
            <w:tcBorders>
              <w:top w:val="nil"/>
              <w:left w:val="nil"/>
              <w:bottom w:val="nil"/>
              <w:right w:val="nil"/>
            </w:tcBorders>
            <w:shd w:val="clear" w:color="auto" w:fill="C6D9F1" w:themeFill="text2" w:themeFillTint="33"/>
            <w:noWrap/>
            <w:vAlign w:val="center"/>
            <w:hideMark/>
          </w:tcPr>
          <w:p w:rsidR="006F0325" w:rsidRPr="009640EE" w:rsidRDefault="006F0325" w:rsidP="006F0325">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Overall</w:t>
            </w:r>
          </w:p>
        </w:tc>
        <w:tc>
          <w:tcPr>
            <w:tcW w:w="0" w:type="auto"/>
            <w:tcBorders>
              <w:top w:val="nil"/>
              <w:left w:val="nil"/>
              <w:bottom w:val="nil"/>
              <w:right w:val="nil"/>
            </w:tcBorders>
            <w:shd w:val="clear" w:color="auto" w:fill="C6D9F1" w:themeFill="text2" w:themeFillTint="33"/>
            <w:noWrap/>
            <w:vAlign w:val="center"/>
            <w:hideMark/>
          </w:tcPr>
          <w:p w:rsidR="006F0325" w:rsidRPr="009640EE" w:rsidRDefault="006F0325" w:rsidP="006F0325">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Timely</w:t>
            </w:r>
          </w:p>
        </w:tc>
        <w:tc>
          <w:tcPr>
            <w:tcW w:w="0" w:type="auto"/>
            <w:tcBorders>
              <w:top w:val="nil"/>
              <w:left w:val="nil"/>
              <w:bottom w:val="single" w:sz="8" w:space="0" w:color="9BBB59"/>
              <w:right w:val="nil"/>
            </w:tcBorders>
            <w:shd w:val="clear" w:color="000000" w:fill="BFBFBF"/>
            <w:vAlign w:val="center"/>
            <w:hideMark/>
          </w:tcPr>
          <w:p w:rsidR="006F0325" w:rsidRPr="009640EE" w:rsidRDefault="006F0325" w:rsidP="006F0325">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Overall</w:t>
            </w:r>
          </w:p>
        </w:tc>
        <w:tc>
          <w:tcPr>
            <w:tcW w:w="0" w:type="auto"/>
            <w:tcBorders>
              <w:top w:val="nil"/>
              <w:left w:val="nil"/>
              <w:bottom w:val="single" w:sz="8" w:space="0" w:color="9BBB59"/>
              <w:right w:val="nil"/>
            </w:tcBorders>
            <w:shd w:val="clear" w:color="000000" w:fill="BFBFBF"/>
            <w:vAlign w:val="center"/>
            <w:hideMark/>
          </w:tcPr>
          <w:p w:rsidR="006F0325" w:rsidRPr="009640EE" w:rsidRDefault="006F0325" w:rsidP="006F0325">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Timely</w:t>
            </w:r>
          </w:p>
        </w:tc>
        <w:tc>
          <w:tcPr>
            <w:tcW w:w="0" w:type="auto"/>
            <w:tcBorders>
              <w:top w:val="nil"/>
              <w:left w:val="nil"/>
              <w:bottom w:val="nil"/>
              <w:right w:val="nil"/>
            </w:tcBorders>
            <w:shd w:val="clear" w:color="auto" w:fill="C6D9F1" w:themeFill="text2" w:themeFillTint="33"/>
            <w:noWrap/>
            <w:vAlign w:val="center"/>
            <w:hideMark/>
          </w:tcPr>
          <w:p w:rsidR="006F0325" w:rsidRPr="009640EE" w:rsidRDefault="006F0325" w:rsidP="006F0325">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Cohort</w:t>
            </w:r>
          </w:p>
        </w:tc>
        <w:tc>
          <w:tcPr>
            <w:tcW w:w="0" w:type="auto"/>
            <w:tcBorders>
              <w:top w:val="nil"/>
              <w:left w:val="nil"/>
              <w:bottom w:val="nil"/>
              <w:right w:val="nil"/>
            </w:tcBorders>
            <w:shd w:val="clear" w:color="auto" w:fill="C6D9F1" w:themeFill="text2" w:themeFillTint="33"/>
            <w:noWrap/>
            <w:vAlign w:val="center"/>
            <w:hideMark/>
          </w:tcPr>
          <w:p w:rsidR="006F0325" w:rsidRPr="009640EE" w:rsidRDefault="006F0325" w:rsidP="006F0325">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Overall</w:t>
            </w:r>
          </w:p>
        </w:tc>
        <w:tc>
          <w:tcPr>
            <w:tcW w:w="0" w:type="auto"/>
            <w:tcBorders>
              <w:top w:val="nil"/>
              <w:left w:val="nil"/>
              <w:bottom w:val="nil"/>
              <w:right w:val="nil"/>
            </w:tcBorders>
            <w:shd w:val="clear" w:color="auto" w:fill="C6D9F1" w:themeFill="text2" w:themeFillTint="33"/>
            <w:noWrap/>
            <w:vAlign w:val="center"/>
            <w:hideMark/>
          </w:tcPr>
          <w:p w:rsidR="006F0325" w:rsidRPr="009640EE" w:rsidRDefault="006F0325" w:rsidP="006F0325">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Timely</w:t>
            </w:r>
          </w:p>
        </w:tc>
        <w:tc>
          <w:tcPr>
            <w:tcW w:w="0" w:type="auto"/>
            <w:tcBorders>
              <w:top w:val="nil"/>
              <w:left w:val="nil"/>
              <w:bottom w:val="nil"/>
              <w:right w:val="nil"/>
            </w:tcBorders>
            <w:shd w:val="clear" w:color="auto" w:fill="C6D9F1" w:themeFill="text2" w:themeFillTint="33"/>
            <w:noWrap/>
            <w:vAlign w:val="center"/>
            <w:hideMark/>
          </w:tcPr>
          <w:p w:rsidR="006F0325" w:rsidRPr="009640EE" w:rsidRDefault="006F0325" w:rsidP="006F0325">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Overall</w:t>
            </w:r>
          </w:p>
        </w:tc>
        <w:tc>
          <w:tcPr>
            <w:tcW w:w="983" w:type="dxa"/>
            <w:tcBorders>
              <w:top w:val="nil"/>
              <w:left w:val="nil"/>
              <w:bottom w:val="nil"/>
              <w:right w:val="nil"/>
            </w:tcBorders>
            <w:shd w:val="clear" w:color="auto" w:fill="C6D9F1" w:themeFill="text2" w:themeFillTint="33"/>
            <w:noWrap/>
            <w:vAlign w:val="center"/>
            <w:hideMark/>
          </w:tcPr>
          <w:p w:rsidR="006F0325" w:rsidRPr="009640EE" w:rsidRDefault="006F0325" w:rsidP="006F0325">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Timely</w:t>
            </w:r>
          </w:p>
        </w:tc>
      </w:tr>
      <w:tr w:rsidR="006F0325" w:rsidRPr="009640EE" w:rsidTr="006F0325">
        <w:trPr>
          <w:trHeight w:val="315"/>
        </w:trPr>
        <w:tc>
          <w:tcPr>
            <w:tcW w:w="773" w:type="dxa"/>
            <w:tcBorders>
              <w:top w:val="single" w:sz="8" w:space="0" w:color="9BBB59"/>
              <w:left w:val="single" w:sz="8" w:space="0" w:color="9BBB59"/>
              <w:bottom w:val="single" w:sz="8" w:space="0" w:color="9BBB59"/>
              <w:right w:val="single" w:sz="8" w:space="0" w:color="9BBB59"/>
            </w:tcBorders>
            <w:shd w:val="clear" w:color="auto" w:fill="auto"/>
            <w:noWrap/>
            <w:vAlign w:val="center"/>
            <w:hideMark/>
          </w:tcPr>
          <w:p w:rsidR="006F0325" w:rsidRPr="009640EE" w:rsidRDefault="006F0325" w:rsidP="006F0325">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16-18</w:t>
            </w:r>
          </w:p>
        </w:tc>
        <w:tc>
          <w:tcPr>
            <w:tcW w:w="0" w:type="auto"/>
            <w:tcBorders>
              <w:top w:val="single" w:sz="8" w:space="0" w:color="9BBB59"/>
              <w:left w:val="nil"/>
              <w:bottom w:val="single" w:sz="8" w:space="0" w:color="9BBB59"/>
              <w:right w:val="nil"/>
            </w:tcBorders>
            <w:shd w:val="clear" w:color="auto" w:fill="auto"/>
            <w:noWrap/>
            <w:vAlign w:val="center"/>
            <w:hideMark/>
          </w:tcPr>
          <w:p w:rsidR="006F0325" w:rsidRPr="009640EE" w:rsidRDefault="006F0325" w:rsidP="006F0325">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144</w:t>
            </w:r>
          </w:p>
        </w:tc>
        <w:tc>
          <w:tcPr>
            <w:tcW w:w="0" w:type="auto"/>
            <w:tcBorders>
              <w:top w:val="single" w:sz="8" w:space="0" w:color="9BBB59"/>
              <w:left w:val="nil"/>
              <w:bottom w:val="single" w:sz="8" w:space="0" w:color="9BBB59"/>
              <w:right w:val="nil"/>
            </w:tcBorders>
            <w:shd w:val="clear" w:color="auto" w:fill="auto"/>
            <w:noWrap/>
            <w:vAlign w:val="center"/>
            <w:hideMark/>
          </w:tcPr>
          <w:p w:rsidR="006F0325" w:rsidRPr="009640EE" w:rsidRDefault="006F0325" w:rsidP="006F0325">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78.5%</w:t>
            </w:r>
          </w:p>
        </w:tc>
        <w:tc>
          <w:tcPr>
            <w:tcW w:w="0" w:type="auto"/>
            <w:tcBorders>
              <w:top w:val="single" w:sz="8" w:space="0" w:color="9BBB59"/>
              <w:left w:val="nil"/>
              <w:bottom w:val="single" w:sz="8" w:space="0" w:color="9BBB59"/>
              <w:right w:val="nil"/>
            </w:tcBorders>
            <w:shd w:val="clear" w:color="auto" w:fill="auto"/>
            <w:noWrap/>
            <w:vAlign w:val="center"/>
            <w:hideMark/>
          </w:tcPr>
          <w:p w:rsidR="006F0325" w:rsidRPr="009640EE" w:rsidRDefault="006F0325" w:rsidP="006F0325">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72.0%</w:t>
            </w:r>
          </w:p>
        </w:tc>
        <w:tc>
          <w:tcPr>
            <w:tcW w:w="0" w:type="auto"/>
            <w:tcBorders>
              <w:top w:val="single" w:sz="8" w:space="0" w:color="9BBB59"/>
              <w:left w:val="nil"/>
              <w:bottom w:val="single" w:sz="8" w:space="0" w:color="9BBB59"/>
              <w:right w:val="nil"/>
            </w:tcBorders>
            <w:shd w:val="clear" w:color="auto" w:fill="auto"/>
            <w:noWrap/>
            <w:vAlign w:val="center"/>
            <w:hideMark/>
          </w:tcPr>
          <w:p w:rsidR="006F0325" w:rsidRPr="009640EE" w:rsidRDefault="006F0325" w:rsidP="006F0325">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155</w:t>
            </w:r>
          </w:p>
        </w:tc>
        <w:tc>
          <w:tcPr>
            <w:tcW w:w="0" w:type="auto"/>
            <w:tcBorders>
              <w:top w:val="single" w:sz="8" w:space="0" w:color="9BBB59"/>
              <w:left w:val="nil"/>
              <w:bottom w:val="single" w:sz="8" w:space="0" w:color="9BBB59"/>
              <w:right w:val="nil"/>
            </w:tcBorders>
            <w:shd w:val="clear" w:color="auto" w:fill="auto"/>
            <w:noWrap/>
            <w:vAlign w:val="center"/>
            <w:hideMark/>
          </w:tcPr>
          <w:p w:rsidR="006F0325" w:rsidRPr="009640EE" w:rsidRDefault="006F0325" w:rsidP="006F0325">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83.2%</w:t>
            </w:r>
          </w:p>
        </w:tc>
        <w:tc>
          <w:tcPr>
            <w:tcW w:w="0" w:type="auto"/>
            <w:tcBorders>
              <w:top w:val="single" w:sz="8" w:space="0" w:color="9BBB59"/>
              <w:left w:val="nil"/>
              <w:bottom w:val="single" w:sz="8" w:space="0" w:color="9BBB59"/>
              <w:right w:val="nil"/>
            </w:tcBorders>
            <w:shd w:val="clear" w:color="auto" w:fill="auto"/>
            <w:noWrap/>
            <w:vAlign w:val="center"/>
            <w:hideMark/>
          </w:tcPr>
          <w:p w:rsidR="006F0325" w:rsidRPr="009640EE" w:rsidRDefault="006F0325" w:rsidP="006F0325">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83.1%</w:t>
            </w:r>
          </w:p>
        </w:tc>
        <w:tc>
          <w:tcPr>
            <w:tcW w:w="0" w:type="auto"/>
            <w:tcBorders>
              <w:top w:val="nil"/>
              <w:left w:val="nil"/>
              <w:bottom w:val="single" w:sz="8" w:space="0" w:color="9BBB59"/>
              <w:right w:val="nil"/>
            </w:tcBorders>
            <w:shd w:val="clear" w:color="000000" w:fill="BFBFBF"/>
            <w:vAlign w:val="center"/>
            <w:hideMark/>
          </w:tcPr>
          <w:p w:rsidR="006F0325" w:rsidRPr="009640EE" w:rsidRDefault="006F0325" w:rsidP="006F0325">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69.4%</w:t>
            </w:r>
          </w:p>
        </w:tc>
        <w:tc>
          <w:tcPr>
            <w:tcW w:w="0" w:type="auto"/>
            <w:tcBorders>
              <w:top w:val="nil"/>
              <w:left w:val="nil"/>
              <w:bottom w:val="single" w:sz="8" w:space="0" w:color="9BBB59"/>
              <w:right w:val="nil"/>
            </w:tcBorders>
            <w:shd w:val="clear" w:color="000000" w:fill="BFBFBF"/>
            <w:vAlign w:val="center"/>
            <w:hideMark/>
          </w:tcPr>
          <w:p w:rsidR="006F0325" w:rsidRPr="009640EE" w:rsidRDefault="006F0325" w:rsidP="006F0325">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63.0%</w:t>
            </w:r>
          </w:p>
        </w:tc>
        <w:tc>
          <w:tcPr>
            <w:tcW w:w="0" w:type="auto"/>
            <w:tcBorders>
              <w:top w:val="single" w:sz="8" w:space="0" w:color="9BBB59"/>
              <w:left w:val="nil"/>
              <w:bottom w:val="single" w:sz="8" w:space="0" w:color="9BBB59"/>
              <w:right w:val="nil"/>
            </w:tcBorders>
            <w:shd w:val="clear" w:color="auto" w:fill="auto"/>
            <w:noWrap/>
            <w:vAlign w:val="center"/>
            <w:hideMark/>
          </w:tcPr>
          <w:p w:rsidR="006F0325" w:rsidRPr="009640EE" w:rsidRDefault="006F0325" w:rsidP="006F0325">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w:t>
            </w:r>
            <w:r>
              <w:rPr>
                <w:rFonts w:ascii="Calibri" w:eastAsia="Times New Roman" w:hAnsi="Calibri" w:cs="Times New Roman"/>
                <w:color w:val="000000"/>
                <w:sz w:val="20"/>
                <w:szCs w:val="20"/>
                <w:lang w:eastAsia="en-GB"/>
              </w:rPr>
              <w:t>60</w:t>
            </w:r>
          </w:p>
        </w:tc>
        <w:tc>
          <w:tcPr>
            <w:tcW w:w="0" w:type="auto"/>
            <w:tcBorders>
              <w:top w:val="single" w:sz="8" w:space="0" w:color="9BBB59"/>
              <w:left w:val="nil"/>
              <w:bottom w:val="single" w:sz="8" w:space="0" w:color="9BBB59"/>
              <w:right w:val="nil"/>
            </w:tcBorders>
            <w:shd w:val="clear" w:color="auto" w:fill="auto"/>
            <w:noWrap/>
            <w:vAlign w:val="center"/>
            <w:hideMark/>
          </w:tcPr>
          <w:p w:rsidR="006F0325" w:rsidRPr="009640EE" w:rsidRDefault="006F0325" w:rsidP="006F0325">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w:t>
            </w:r>
            <w:r>
              <w:rPr>
                <w:rFonts w:ascii="Calibri" w:eastAsia="Times New Roman" w:hAnsi="Calibri" w:cs="Times New Roman"/>
                <w:color w:val="000000"/>
                <w:sz w:val="20"/>
                <w:szCs w:val="20"/>
                <w:lang w:eastAsia="en-GB"/>
              </w:rPr>
              <w:t>8.8</w:t>
            </w:r>
            <w:r w:rsidRPr="009640EE">
              <w:rPr>
                <w:rFonts w:ascii="Calibri" w:eastAsia="Times New Roman" w:hAnsi="Calibri" w:cs="Times New Roman"/>
                <w:color w:val="000000"/>
                <w:sz w:val="20"/>
                <w:szCs w:val="20"/>
                <w:lang w:eastAsia="en-GB"/>
              </w:rPr>
              <w:t>%</w:t>
            </w:r>
          </w:p>
        </w:tc>
        <w:tc>
          <w:tcPr>
            <w:tcW w:w="0" w:type="auto"/>
            <w:tcBorders>
              <w:top w:val="single" w:sz="8" w:space="0" w:color="9BBB59"/>
              <w:left w:val="nil"/>
              <w:bottom w:val="single" w:sz="8" w:space="0" w:color="9BBB59"/>
              <w:right w:val="nil"/>
            </w:tcBorders>
            <w:shd w:val="clear" w:color="auto" w:fill="auto"/>
            <w:noWrap/>
            <w:vAlign w:val="center"/>
            <w:hideMark/>
          </w:tcPr>
          <w:p w:rsidR="006F0325" w:rsidRPr="009640EE" w:rsidRDefault="006F0325" w:rsidP="006F0325">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80.3%</w:t>
            </w:r>
          </w:p>
        </w:tc>
        <w:tc>
          <w:tcPr>
            <w:tcW w:w="0" w:type="auto"/>
            <w:tcBorders>
              <w:top w:val="single" w:sz="8" w:space="0" w:color="9BBB59"/>
              <w:left w:val="nil"/>
              <w:bottom w:val="single" w:sz="8" w:space="0" w:color="9BBB59"/>
              <w:right w:val="single" w:sz="8" w:space="0" w:color="9BBB59"/>
            </w:tcBorders>
            <w:shd w:val="clear" w:color="auto" w:fill="auto"/>
            <w:noWrap/>
            <w:vAlign w:val="center"/>
            <w:hideMark/>
          </w:tcPr>
          <w:p w:rsidR="006F0325" w:rsidRPr="009640EE" w:rsidRDefault="006F0325" w:rsidP="006F0325">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9.</w:t>
            </w:r>
            <w:r>
              <w:rPr>
                <w:rFonts w:ascii="Calibri" w:eastAsia="Times New Roman" w:hAnsi="Calibri" w:cs="Times New Roman"/>
                <w:color w:val="000000"/>
                <w:sz w:val="20"/>
                <w:szCs w:val="20"/>
                <w:lang w:eastAsia="en-GB"/>
              </w:rPr>
              <w:t>4</w:t>
            </w:r>
            <w:r w:rsidRPr="009640EE">
              <w:rPr>
                <w:rFonts w:ascii="Calibri" w:eastAsia="Times New Roman" w:hAnsi="Calibri" w:cs="Times New Roman"/>
                <w:color w:val="000000"/>
                <w:sz w:val="20"/>
                <w:szCs w:val="20"/>
                <w:lang w:eastAsia="en-GB"/>
              </w:rPr>
              <w:t>%</w:t>
            </w:r>
          </w:p>
        </w:tc>
        <w:tc>
          <w:tcPr>
            <w:tcW w:w="983" w:type="dxa"/>
            <w:tcBorders>
              <w:top w:val="single" w:sz="8" w:space="0" w:color="9BBB59"/>
              <w:left w:val="nil"/>
              <w:bottom w:val="single" w:sz="8" w:space="0" w:color="9BBB59"/>
              <w:right w:val="single" w:sz="8" w:space="0" w:color="9BBB59"/>
            </w:tcBorders>
            <w:shd w:val="clear" w:color="auto" w:fill="auto"/>
            <w:noWrap/>
            <w:vAlign w:val="center"/>
            <w:hideMark/>
          </w:tcPr>
          <w:p w:rsidR="006F0325" w:rsidRPr="009640EE" w:rsidRDefault="006F0325" w:rsidP="006F0325">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17.3%</w:t>
            </w:r>
          </w:p>
        </w:tc>
      </w:tr>
      <w:tr w:rsidR="006F0325" w:rsidRPr="009640EE" w:rsidTr="006F0325">
        <w:trPr>
          <w:trHeight w:val="315"/>
        </w:trPr>
        <w:tc>
          <w:tcPr>
            <w:tcW w:w="773" w:type="dxa"/>
            <w:tcBorders>
              <w:top w:val="nil"/>
              <w:left w:val="single" w:sz="8" w:space="0" w:color="9BBB59"/>
              <w:bottom w:val="single" w:sz="8" w:space="0" w:color="9BBB59"/>
              <w:right w:val="single" w:sz="8" w:space="0" w:color="9BBB59"/>
            </w:tcBorders>
            <w:shd w:val="clear" w:color="auto" w:fill="auto"/>
            <w:noWrap/>
            <w:vAlign w:val="center"/>
            <w:hideMark/>
          </w:tcPr>
          <w:p w:rsidR="006F0325" w:rsidRPr="009640EE" w:rsidRDefault="006F0325" w:rsidP="006F0325">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Adult</w:t>
            </w:r>
          </w:p>
        </w:tc>
        <w:tc>
          <w:tcPr>
            <w:tcW w:w="0" w:type="auto"/>
            <w:tcBorders>
              <w:top w:val="nil"/>
              <w:left w:val="nil"/>
              <w:bottom w:val="single" w:sz="8" w:space="0" w:color="9BBB59"/>
              <w:right w:val="nil"/>
            </w:tcBorders>
            <w:shd w:val="clear" w:color="auto" w:fill="auto"/>
            <w:noWrap/>
            <w:vAlign w:val="center"/>
            <w:hideMark/>
          </w:tcPr>
          <w:p w:rsidR="006F0325" w:rsidRPr="009640EE" w:rsidRDefault="006F0325" w:rsidP="006F0325">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60</w:t>
            </w:r>
          </w:p>
        </w:tc>
        <w:tc>
          <w:tcPr>
            <w:tcW w:w="0" w:type="auto"/>
            <w:tcBorders>
              <w:top w:val="nil"/>
              <w:left w:val="nil"/>
              <w:bottom w:val="single" w:sz="8" w:space="0" w:color="9BBB59"/>
              <w:right w:val="nil"/>
            </w:tcBorders>
            <w:shd w:val="clear" w:color="auto" w:fill="auto"/>
            <w:noWrap/>
            <w:vAlign w:val="center"/>
            <w:hideMark/>
          </w:tcPr>
          <w:p w:rsidR="006F0325" w:rsidRPr="009640EE" w:rsidRDefault="006F0325" w:rsidP="006F0325">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90.0%</w:t>
            </w:r>
          </w:p>
        </w:tc>
        <w:tc>
          <w:tcPr>
            <w:tcW w:w="0" w:type="auto"/>
            <w:tcBorders>
              <w:top w:val="nil"/>
              <w:left w:val="nil"/>
              <w:bottom w:val="single" w:sz="8" w:space="0" w:color="9BBB59"/>
              <w:right w:val="nil"/>
            </w:tcBorders>
            <w:shd w:val="clear" w:color="auto" w:fill="auto"/>
            <w:noWrap/>
            <w:vAlign w:val="center"/>
            <w:hideMark/>
          </w:tcPr>
          <w:p w:rsidR="006F0325" w:rsidRPr="009640EE" w:rsidRDefault="006F0325" w:rsidP="006F0325">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90.0%</w:t>
            </w:r>
          </w:p>
        </w:tc>
        <w:tc>
          <w:tcPr>
            <w:tcW w:w="0" w:type="auto"/>
            <w:tcBorders>
              <w:top w:val="nil"/>
              <w:left w:val="nil"/>
              <w:bottom w:val="single" w:sz="8" w:space="0" w:color="9BBB59"/>
              <w:right w:val="nil"/>
            </w:tcBorders>
            <w:shd w:val="clear" w:color="auto" w:fill="auto"/>
            <w:noWrap/>
            <w:vAlign w:val="center"/>
            <w:hideMark/>
          </w:tcPr>
          <w:p w:rsidR="006F0325" w:rsidRPr="009640EE" w:rsidRDefault="006F0325" w:rsidP="006F0325">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70</w:t>
            </w:r>
          </w:p>
        </w:tc>
        <w:tc>
          <w:tcPr>
            <w:tcW w:w="0" w:type="auto"/>
            <w:tcBorders>
              <w:top w:val="nil"/>
              <w:left w:val="nil"/>
              <w:bottom w:val="single" w:sz="8" w:space="0" w:color="9BBB59"/>
              <w:right w:val="nil"/>
            </w:tcBorders>
            <w:shd w:val="clear" w:color="auto" w:fill="auto"/>
            <w:noWrap/>
            <w:vAlign w:val="center"/>
            <w:hideMark/>
          </w:tcPr>
          <w:p w:rsidR="006F0325" w:rsidRPr="009640EE" w:rsidRDefault="006F0325" w:rsidP="006F0325">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88.6%</w:t>
            </w:r>
          </w:p>
        </w:tc>
        <w:tc>
          <w:tcPr>
            <w:tcW w:w="0" w:type="auto"/>
            <w:tcBorders>
              <w:top w:val="nil"/>
              <w:left w:val="nil"/>
              <w:bottom w:val="single" w:sz="8" w:space="0" w:color="9BBB59"/>
              <w:right w:val="nil"/>
            </w:tcBorders>
            <w:shd w:val="clear" w:color="auto" w:fill="auto"/>
            <w:noWrap/>
            <w:vAlign w:val="center"/>
            <w:hideMark/>
          </w:tcPr>
          <w:p w:rsidR="006F0325" w:rsidRPr="009640EE" w:rsidRDefault="006F0325" w:rsidP="006F0325">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88.7%</w:t>
            </w:r>
          </w:p>
        </w:tc>
        <w:tc>
          <w:tcPr>
            <w:tcW w:w="0" w:type="auto"/>
            <w:tcBorders>
              <w:top w:val="nil"/>
              <w:left w:val="nil"/>
              <w:bottom w:val="single" w:sz="8" w:space="0" w:color="9BBB59"/>
              <w:right w:val="nil"/>
            </w:tcBorders>
            <w:shd w:val="clear" w:color="000000" w:fill="BFBFBF"/>
            <w:vAlign w:val="center"/>
            <w:hideMark/>
          </w:tcPr>
          <w:p w:rsidR="006F0325" w:rsidRPr="009640EE" w:rsidRDefault="006F0325" w:rsidP="006F0325">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67.6%</w:t>
            </w:r>
          </w:p>
        </w:tc>
        <w:tc>
          <w:tcPr>
            <w:tcW w:w="0" w:type="auto"/>
            <w:tcBorders>
              <w:top w:val="nil"/>
              <w:left w:val="nil"/>
              <w:bottom w:val="single" w:sz="8" w:space="0" w:color="9BBB59"/>
              <w:right w:val="nil"/>
            </w:tcBorders>
            <w:shd w:val="clear" w:color="000000" w:fill="BFBFBF"/>
            <w:vAlign w:val="center"/>
            <w:hideMark/>
          </w:tcPr>
          <w:p w:rsidR="006F0325" w:rsidRPr="009640EE" w:rsidRDefault="006F0325" w:rsidP="006F0325">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60.6%</w:t>
            </w:r>
          </w:p>
        </w:tc>
        <w:tc>
          <w:tcPr>
            <w:tcW w:w="0" w:type="auto"/>
            <w:tcBorders>
              <w:top w:val="nil"/>
              <w:left w:val="nil"/>
              <w:bottom w:val="single" w:sz="8" w:space="0" w:color="9BBB59"/>
              <w:right w:val="nil"/>
            </w:tcBorders>
            <w:shd w:val="clear" w:color="auto" w:fill="auto"/>
            <w:noWrap/>
            <w:vAlign w:val="center"/>
            <w:hideMark/>
          </w:tcPr>
          <w:p w:rsidR="006F0325" w:rsidRPr="009640EE" w:rsidRDefault="006F0325" w:rsidP="006F0325">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91</w:t>
            </w:r>
          </w:p>
        </w:tc>
        <w:tc>
          <w:tcPr>
            <w:tcW w:w="0" w:type="auto"/>
            <w:tcBorders>
              <w:top w:val="nil"/>
              <w:left w:val="nil"/>
              <w:bottom w:val="single" w:sz="8" w:space="0" w:color="9BBB59"/>
              <w:right w:val="nil"/>
            </w:tcBorders>
            <w:shd w:val="clear" w:color="auto" w:fill="auto"/>
            <w:noWrap/>
            <w:vAlign w:val="center"/>
            <w:hideMark/>
          </w:tcPr>
          <w:p w:rsidR="006F0325" w:rsidRPr="009640EE" w:rsidRDefault="006F0325" w:rsidP="006F0325">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81.3%</w:t>
            </w:r>
          </w:p>
        </w:tc>
        <w:tc>
          <w:tcPr>
            <w:tcW w:w="0" w:type="auto"/>
            <w:tcBorders>
              <w:top w:val="nil"/>
              <w:left w:val="nil"/>
              <w:bottom w:val="single" w:sz="8" w:space="0" w:color="9BBB59"/>
              <w:right w:val="nil"/>
            </w:tcBorders>
            <w:shd w:val="clear" w:color="auto" w:fill="auto"/>
            <w:noWrap/>
            <w:vAlign w:val="center"/>
            <w:hideMark/>
          </w:tcPr>
          <w:p w:rsidR="006F0325" w:rsidRPr="009640EE" w:rsidRDefault="006F0325" w:rsidP="006F0325">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8</w:t>
            </w:r>
            <w:r>
              <w:rPr>
                <w:rFonts w:ascii="Calibri" w:eastAsia="Times New Roman" w:hAnsi="Calibri" w:cs="Times New Roman"/>
                <w:color w:val="000000"/>
                <w:sz w:val="20"/>
                <w:szCs w:val="20"/>
                <w:lang w:eastAsia="en-GB"/>
              </w:rPr>
              <w:t>1.3</w:t>
            </w:r>
            <w:r w:rsidRPr="009640EE">
              <w:rPr>
                <w:rFonts w:ascii="Calibri" w:eastAsia="Times New Roman" w:hAnsi="Calibri" w:cs="Times New Roman"/>
                <w:color w:val="000000"/>
                <w:sz w:val="20"/>
                <w:szCs w:val="20"/>
                <w:lang w:eastAsia="en-GB"/>
              </w:rPr>
              <w:t>%</w:t>
            </w:r>
          </w:p>
        </w:tc>
        <w:tc>
          <w:tcPr>
            <w:tcW w:w="0" w:type="auto"/>
            <w:tcBorders>
              <w:top w:val="nil"/>
              <w:left w:val="nil"/>
              <w:bottom w:val="single" w:sz="8" w:space="0" w:color="9BBB59"/>
              <w:right w:val="single" w:sz="8" w:space="0" w:color="9BBB59"/>
            </w:tcBorders>
            <w:shd w:val="clear" w:color="auto" w:fill="auto"/>
            <w:noWrap/>
            <w:vAlign w:val="center"/>
            <w:hideMark/>
          </w:tcPr>
          <w:p w:rsidR="006F0325" w:rsidRPr="009640EE" w:rsidRDefault="006F0325" w:rsidP="006F0325">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13.7%</w:t>
            </w:r>
          </w:p>
        </w:tc>
        <w:tc>
          <w:tcPr>
            <w:tcW w:w="983" w:type="dxa"/>
            <w:tcBorders>
              <w:top w:val="nil"/>
              <w:left w:val="nil"/>
              <w:bottom w:val="single" w:sz="8" w:space="0" w:color="9BBB59"/>
              <w:right w:val="single" w:sz="8" w:space="0" w:color="9BBB59"/>
            </w:tcBorders>
            <w:shd w:val="clear" w:color="auto" w:fill="auto"/>
            <w:noWrap/>
            <w:vAlign w:val="center"/>
            <w:hideMark/>
          </w:tcPr>
          <w:p w:rsidR="006F0325" w:rsidRPr="009640EE" w:rsidRDefault="006F0325" w:rsidP="006F0325">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20.7</w:t>
            </w:r>
            <w:r w:rsidRPr="009640EE">
              <w:rPr>
                <w:rFonts w:ascii="Calibri" w:eastAsia="Times New Roman" w:hAnsi="Calibri" w:cs="Times New Roman"/>
                <w:color w:val="000000"/>
                <w:sz w:val="20"/>
                <w:szCs w:val="20"/>
                <w:lang w:eastAsia="en-GB"/>
              </w:rPr>
              <w:t>%</w:t>
            </w:r>
          </w:p>
        </w:tc>
      </w:tr>
      <w:tr w:rsidR="006F0325" w:rsidRPr="009640EE" w:rsidTr="006F0325">
        <w:trPr>
          <w:trHeight w:val="315"/>
        </w:trPr>
        <w:tc>
          <w:tcPr>
            <w:tcW w:w="773" w:type="dxa"/>
            <w:tcBorders>
              <w:top w:val="nil"/>
              <w:left w:val="single" w:sz="8" w:space="0" w:color="9BBB59"/>
              <w:bottom w:val="single" w:sz="8" w:space="0" w:color="9BBB59"/>
              <w:right w:val="single" w:sz="8" w:space="0" w:color="9BBB59"/>
            </w:tcBorders>
            <w:shd w:val="clear" w:color="000000" w:fill="BFBFBF"/>
            <w:noWrap/>
            <w:vAlign w:val="center"/>
            <w:hideMark/>
          </w:tcPr>
          <w:p w:rsidR="006F0325" w:rsidRPr="009640EE" w:rsidRDefault="006F0325" w:rsidP="006F0325">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MAX GAP</w:t>
            </w:r>
          </w:p>
        </w:tc>
        <w:tc>
          <w:tcPr>
            <w:tcW w:w="0" w:type="auto"/>
            <w:tcBorders>
              <w:top w:val="nil"/>
              <w:left w:val="nil"/>
              <w:bottom w:val="single" w:sz="8" w:space="0" w:color="9BBB59"/>
              <w:right w:val="nil"/>
            </w:tcBorders>
            <w:shd w:val="clear" w:color="000000" w:fill="BFBFBF"/>
            <w:noWrap/>
            <w:vAlign w:val="center"/>
            <w:hideMark/>
          </w:tcPr>
          <w:p w:rsidR="006F0325" w:rsidRPr="009640EE" w:rsidRDefault="006F0325" w:rsidP="006F0325">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0" w:type="auto"/>
            <w:tcBorders>
              <w:top w:val="nil"/>
              <w:left w:val="nil"/>
              <w:bottom w:val="single" w:sz="8" w:space="0" w:color="9BBB59"/>
              <w:right w:val="nil"/>
            </w:tcBorders>
            <w:shd w:val="clear" w:color="000000" w:fill="BFBFBF"/>
            <w:noWrap/>
            <w:vAlign w:val="center"/>
            <w:hideMark/>
          </w:tcPr>
          <w:p w:rsidR="006F0325" w:rsidRPr="009640EE" w:rsidRDefault="006F0325" w:rsidP="006F0325">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11.5%</w:t>
            </w:r>
          </w:p>
        </w:tc>
        <w:tc>
          <w:tcPr>
            <w:tcW w:w="0" w:type="auto"/>
            <w:tcBorders>
              <w:top w:val="nil"/>
              <w:left w:val="nil"/>
              <w:bottom w:val="single" w:sz="8" w:space="0" w:color="9BBB59"/>
              <w:right w:val="nil"/>
            </w:tcBorders>
            <w:shd w:val="clear" w:color="000000" w:fill="BFBFBF"/>
            <w:noWrap/>
            <w:vAlign w:val="center"/>
            <w:hideMark/>
          </w:tcPr>
          <w:p w:rsidR="006F0325" w:rsidRPr="009640EE" w:rsidRDefault="006F0325" w:rsidP="006F0325">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18.0%</w:t>
            </w:r>
          </w:p>
        </w:tc>
        <w:tc>
          <w:tcPr>
            <w:tcW w:w="0" w:type="auto"/>
            <w:tcBorders>
              <w:top w:val="nil"/>
              <w:left w:val="nil"/>
              <w:bottom w:val="single" w:sz="8" w:space="0" w:color="9BBB59"/>
              <w:right w:val="nil"/>
            </w:tcBorders>
            <w:shd w:val="clear" w:color="000000" w:fill="BFBFBF"/>
            <w:noWrap/>
            <w:vAlign w:val="center"/>
            <w:hideMark/>
          </w:tcPr>
          <w:p w:rsidR="006F0325" w:rsidRPr="009640EE" w:rsidRDefault="006F0325" w:rsidP="006F0325">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0" w:type="auto"/>
            <w:tcBorders>
              <w:top w:val="nil"/>
              <w:left w:val="nil"/>
              <w:bottom w:val="single" w:sz="8" w:space="0" w:color="9BBB59"/>
              <w:right w:val="nil"/>
            </w:tcBorders>
            <w:shd w:val="clear" w:color="000000" w:fill="BFBFBF"/>
            <w:noWrap/>
            <w:vAlign w:val="center"/>
            <w:hideMark/>
          </w:tcPr>
          <w:p w:rsidR="006F0325" w:rsidRPr="009640EE" w:rsidRDefault="006F0325" w:rsidP="006F0325">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5.4%</w:t>
            </w:r>
          </w:p>
        </w:tc>
        <w:tc>
          <w:tcPr>
            <w:tcW w:w="0" w:type="auto"/>
            <w:tcBorders>
              <w:top w:val="nil"/>
              <w:left w:val="nil"/>
              <w:bottom w:val="single" w:sz="8" w:space="0" w:color="9BBB59"/>
              <w:right w:val="nil"/>
            </w:tcBorders>
            <w:shd w:val="clear" w:color="000000" w:fill="BFBFBF"/>
            <w:noWrap/>
            <w:vAlign w:val="center"/>
            <w:hideMark/>
          </w:tcPr>
          <w:p w:rsidR="006F0325" w:rsidRPr="009640EE" w:rsidRDefault="006F0325" w:rsidP="006F0325">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5.6%</w:t>
            </w:r>
          </w:p>
        </w:tc>
        <w:tc>
          <w:tcPr>
            <w:tcW w:w="0" w:type="auto"/>
            <w:tcBorders>
              <w:top w:val="nil"/>
              <w:left w:val="nil"/>
              <w:bottom w:val="single" w:sz="8" w:space="0" w:color="9BBB59"/>
              <w:right w:val="nil"/>
            </w:tcBorders>
            <w:shd w:val="clear" w:color="000000" w:fill="BFBFBF"/>
            <w:noWrap/>
            <w:vAlign w:val="center"/>
            <w:hideMark/>
          </w:tcPr>
          <w:p w:rsidR="006F0325" w:rsidRPr="009640EE" w:rsidRDefault="006F0325" w:rsidP="006F0325">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1.8%</w:t>
            </w:r>
          </w:p>
        </w:tc>
        <w:tc>
          <w:tcPr>
            <w:tcW w:w="0" w:type="auto"/>
            <w:tcBorders>
              <w:top w:val="nil"/>
              <w:left w:val="nil"/>
              <w:bottom w:val="single" w:sz="8" w:space="0" w:color="9BBB59"/>
              <w:right w:val="nil"/>
            </w:tcBorders>
            <w:shd w:val="clear" w:color="000000" w:fill="BFBFBF"/>
            <w:noWrap/>
            <w:vAlign w:val="center"/>
            <w:hideMark/>
          </w:tcPr>
          <w:p w:rsidR="006F0325" w:rsidRPr="009640EE" w:rsidRDefault="006F0325" w:rsidP="006F0325">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2.4%</w:t>
            </w:r>
          </w:p>
        </w:tc>
        <w:tc>
          <w:tcPr>
            <w:tcW w:w="0" w:type="auto"/>
            <w:tcBorders>
              <w:top w:val="nil"/>
              <w:left w:val="nil"/>
              <w:bottom w:val="single" w:sz="8" w:space="0" w:color="9BBB59"/>
              <w:right w:val="nil"/>
            </w:tcBorders>
            <w:shd w:val="clear" w:color="000000" w:fill="BFBFBF"/>
            <w:noWrap/>
            <w:vAlign w:val="center"/>
            <w:hideMark/>
          </w:tcPr>
          <w:p w:rsidR="006F0325" w:rsidRPr="009640EE" w:rsidRDefault="006F0325" w:rsidP="006F0325">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0" w:type="auto"/>
            <w:tcBorders>
              <w:top w:val="nil"/>
              <w:left w:val="nil"/>
              <w:bottom w:val="single" w:sz="8" w:space="0" w:color="9BBB59"/>
              <w:right w:val="nil"/>
            </w:tcBorders>
            <w:shd w:val="clear" w:color="000000" w:fill="BFBFBF"/>
            <w:noWrap/>
            <w:vAlign w:val="center"/>
            <w:hideMark/>
          </w:tcPr>
          <w:p w:rsidR="006F0325" w:rsidRPr="009640EE" w:rsidRDefault="006F0325" w:rsidP="006F0325">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2.</w:t>
            </w:r>
            <w:r>
              <w:rPr>
                <w:rFonts w:ascii="Calibri" w:eastAsia="Times New Roman" w:hAnsi="Calibri" w:cs="Times New Roman"/>
                <w:sz w:val="20"/>
                <w:szCs w:val="20"/>
                <w:lang w:eastAsia="en-GB"/>
              </w:rPr>
              <w:t>5</w:t>
            </w:r>
            <w:r w:rsidRPr="009640EE">
              <w:rPr>
                <w:rFonts w:ascii="Calibri" w:eastAsia="Times New Roman" w:hAnsi="Calibri" w:cs="Times New Roman"/>
                <w:sz w:val="20"/>
                <w:szCs w:val="20"/>
                <w:lang w:eastAsia="en-GB"/>
              </w:rPr>
              <w:t>%</w:t>
            </w:r>
          </w:p>
        </w:tc>
        <w:tc>
          <w:tcPr>
            <w:tcW w:w="0" w:type="auto"/>
            <w:tcBorders>
              <w:top w:val="nil"/>
              <w:left w:val="nil"/>
              <w:bottom w:val="single" w:sz="8" w:space="0" w:color="9BBB59"/>
              <w:right w:val="nil"/>
            </w:tcBorders>
            <w:shd w:val="clear" w:color="000000" w:fill="BFBFBF"/>
            <w:noWrap/>
            <w:vAlign w:val="center"/>
            <w:hideMark/>
          </w:tcPr>
          <w:p w:rsidR="006F0325" w:rsidRPr="009640EE" w:rsidRDefault="006F0325" w:rsidP="006F0325">
            <w:pPr>
              <w:spacing w:after="0" w:line="240" w:lineRule="auto"/>
              <w:jc w:val="center"/>
              <w:rPr>
                <w:rFonts w:ascii="Calibri" w:eastAsia="Times New Roman" w:hAnsi="Calibri" w:cs="Times New Roman"/>
                <w:sz w:val="20"/>
                <w:szCs w:val="20"/>
                <w:lang w:eastAsia="en-GB"/>
              </w:rPr>
            </w:pPr>
            <w:r w:rsidRPr="009640EE">
              <w:rPr>
                <w:rFonts w:ascii="Calibri" w:eastAsia="Times New Roman" w:hAnsi="Calibri" w:cs="Times New Roman"/>
                <w:sz w:val="20"/>
                <w:szCs w:val="20"/>
                <w:lang w:eastAsia="en-GB"/>
              </w:rPr>
              <w:t>1</w:t>
            </w:r>
            <w:r>
              <w:rPr>
                <w:rFonts w:ascii="Calibri" w:eastAsia="Times New Roman" w:hAnsi="Calibri" w:cs="Times New Roman"/>
                <w:sz w:val="20"/>
                <w:szCs w:val="20"/>
                <w:lang w:eastAsia="en-GB"/>
              </w:rPr>
              <w:t>.0</w:t>
            </w:r>
            <w:r w:rsidRPr="009640EE">
              <w:rPr>
                <w:rFonts w:ascii="Calibri" w:eastAsia="Times New Roman" w:hAnsi="Calibri" w:cs="Times New Roman"/>
                <w:sz w:val="20"/>
                <w:szCs w:val="20"/>
                <w:lang w:eastAsia="en-GB"/>
              </w:rPr>
              <w:t>%</w:t>
            </w:r>
          </w:p>
        </w:tc>
        <w:tc>
          <w:tcPr>
            <w:tcW w:w="0" w:type="auto"/>
            <w:tcBorders>
              <w:top w:val="nil"/>
              <w:left w:val="nil"/>
              <w:bottom w:val="single" w:sz="8" w:space="0" w:color="9BBB59"/>
              <w:right w:val="single" w:sz="8" w:space="0" w:color="9BBB59"/>
            </w:tcBorders>
            <w:shd w:val="clear" w:color="000000" w:fill="BFBFBF"/>
            <w:noWrap/>
            <w:vAlign w:val="center"/>
            <w:hideMark/>
          </w:tcPr>
          <w:p w:rsidR="006F0325" w:rsidRPr="009640EE" w:rsidRDefault="006F0325" w:rsidP="006F0325">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983" w:type="dxa"/>
            <w:tcBorders>
              <w:top w:val="nil"/>
              <w:left w:val="nil"/>
              <w:bottom w:val="single" w:sz="8" w:space="0" w:color="9BBB59"/>
              <w:right w:val="single" w:sz="8" w:space="0" w:color="9BBB59"/>
            </w:tcBorders>
            <w:shd w:val="clear" w:color="000000" w:fill="BFBFBF"/>
            <w:noWrap/>
            <w:vAlign w:val="center"/>
            <w:hideMark/>
          </w:tcPr>
          <w:p w:rsidR="006F0325" w:rsidRPr="009640EE" w:rsidRDefault="006F0325" w:rsidP="006F0325">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r>
    </w:tbl>
    <w:p w:rsidR="00BE6EF6" w:rsidRDefault="00BE6EF6" w:rsidP="009640EE">
      <w:pPr>
        <w:spacing w:after="0" w:line="240" w:lineRule="auto"/>
        <w:rPr>
          <w:b/>
        </w:rPr>
      </w:pPr>
    </w:p>
    <w:p w:rsidR="009640EE" w:rsidRDefault="009640EE" w:rsidP="009640EE">
      <w:pPr>
        <w:spacing w:after="0" w:line="240" w:lineRule="auto"/>
      </w:pPr>
      <w:r w:rsidRPr="009640EE">
        <w:t xml:space="preserve">There are no significant achievement gaps by age for apprentices at College or LU Derby, both overall and timely achievement gaps are in line with or slightly less than the national averages for the relevant provider types. </w:t>
      </w:r>
      <w:r w:rsidR="003F6F89">
        <w:t xml:space="preserve"> </w:t>
      </w:r>
      <w:r w:rsidRPr="009640EE">
        <w:t xml:space="preserve">Both College and LU Derby have narrowed achievement gaps from </w:t>
      </w:r>
      <w:r w:rsidR="003F6F89">
        <w:t xml:space="preserve"> </w:t>
      </w:r>
      <w:r w:rsidR="003F6F89" w:rsidRPr="009640EE">
        <w:t>previous years.</w:t>
      </w:r>
      <w:r w:rsidR="003F6F89">
        <w:t xml:space="preserve">  </w:t>
      </w:r>
    </w:p>
    <w:p w:rsidR="003F6F89" w:rsidRDefault="003F6F89" w:rsidP="009640EE">
      <w:pPr>
        <w:spacing w:after="0" w:line="240" w:lineRule="auto"/>
      </w:pPr>
    </w:p>
    <w:p w:rsidR="009640EE" w:rsidRDefault="009640EE" w:rsidP="009640EE">
      <w:pPr>
        <w:spacing w:after="0" w:line="240" w:lineRule="auto"/>
        <w:rPr>
          <w:b/>
        </w:rPr>
      </w:pPr>
    </w:p>
    <w:p w:rsidR="009640EE" w:rsidRDefault="009640EE" w:rsidP="009640EE">
      <w:pPr>
        <w:spacing w:after="0" w:line="240" w:lineRule="auto"/>
        <w:rPr>
          <w:b/>
        </w:rPr>
      </w:pPr>
      <w:r w:rsidRPr="009640EE">
        <w:rPr>
          <w:b/>
        </w:rPr>
        <w:t xml:space="preserve">Gender  </w:t>
      </w:r>
    </w:p>
    <w:p w:rsidR="0039703A" w:rsidRPr="009640EE" w:rsidRDefault="0039703A" w:rsidP="009640EE">
      <w:pPr>
        <w:spacing w:after="0" w:line="240" w:lineRule="auto"/>
        <w:rPr>
          <w:b/>
        </w:rPr>
      </w:pPr>
    </w:p>
    <w:p w:rsidR="009640EE" w:rsidRDefault="009640EE" w:rsidP="009640EE">
      <w:pPr>
        <w:spacing w:after="0" w:line="240" w:lineRule="auto"/>
        <w:rPr>
          <w:b/>
        </w:rPr>
      </w:pPr>
      <w:r w:rsidRPr="009640EE">
        <w:rPr>
          <w:b/>
        </w:rPr>
        <w:t xml:space="preserve">Overall and Timely achievement by Gender </w:t>
      </w:r>
      <w:r w:rsidR="0039703A">
        <w:rPr>
          <w:b/>
        </w:rPr>
        <w:t>–</w:t>
      </w:r>
      <w:r w:rsidRPr="009640EE">
        <w:rPr>
          <w:b/>
        </w:rPr>
        <w:t xml:space="preserve"> College</w:t>
      </w:r>
    </w:p>
    <w:p w:rsidR="0039703A" w:rsidRPr="009640EE" w:rsidRDefault="0039703A" w:rsidP="009640EE">
      <w:pPr>
        <w:spacing w:after="0" w:line="240" w:lineRule="auto"/>
        <w:rPr>
          <w:b/>
        </w:rPr>
      </w:pPr>
    </w:p>
    <w:tbl>
      <w:tblPr>
        <w:tblW w:w="6011" w:type="pct"/>
        <w:tblInd w:w="-1030" w:type="dxa"/>
        <w:tblLook w:val="04A0" w:firstRow="1" w:lastRow="0" w:firstColumn="1" w:lastColumn="0" w:noHBand="0" w:noVBand="1"/>
      </w:tblPr>
      <w:tblGrid>
        <w:gridCol w:w="820"/>
        <w:gridCol w:w="785"/>
        <w:gridCol w:w="815"/>
        <w:gridCol w:w="772"/>
        <w:gridCol w:w="785"/>
        <w:gridCol w:w="815"/>
        <w:gridCol w:w="772"/>
        <w:gridCol w:w="815"/>
        <w:gridCol w:w="772"/>
        <w:gridCol w:w="785"/>
        <w:gridCol w:w="815"/>
        <w:gridCol w:w="772"/>
        <w:gridCol w:w="815"/>
        <w:gridCol w:w="772"/>
      </w:tblGrid>
      <w:tr w:rsidR="009640EE" w:rsidRPr="009640EE" w:rsidTr="009640EE">
        <w:trPr>
          <w:trHeight w:val="735"/>
        </w:trPr>
        <w:tc>
          <w:tcPr>
            <w:tcW w:w="369" w:type="pct"/>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1068" w:type="pct"/>
            <w:gridSpan w:val="3"/>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2015/16 QAR</w:t>
            </w:r>
          </w:p>
        </w:tc>
        <w:tc>
          <w:tcPr>
            <w:tcW w:w="1068" w:type="pct"/>
            <w:gridSpan w:val="3"/>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2016/17 QAR</w:t>
            </w:r>
          </w:p>
        </w:tc>
        <w:tc>
          <w:tcPr>
            <w:tcW w:w="714" w:type="pct"/>
            <w:gridSpan w:val="2"/>
            <w:tcBorders>
              <w:top w:val="nil"/>
              <w:left w:val="nil"/>
              <w:bottom w:val="nil"/>
              <w:right w:val="nil"/>
            </w:tcBorders>
            <w:shd w:val="clear" w:color="000000" w:fill="BFBFBF"/>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2016/17             Provider Profile Average</w:t>
            </w:r>
          </w:p>
        </w:tc>
        <w:tc>
          <w:tcPr>
            <w:tcW w:w="1068" w:type="pct"/>
            <w:gridSpan w:val="3"/>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2017/18</w:t>
            </w:r>
          </w:p>
        </w:tc>
        <w:tc>
          <w:tcPr>
            <w:tcW w:w="714" w:type="pct"/>
            <w:gridSpan w:val="2"/>
            <w:tcBorders>
              <w:top w:val="nil"/>
              <w:left w:val="nil"/>
              <w:bottom w:val="nil"/>
              <w:right w:val="nil"/>
            </w:tcBorders>
            <w:shd w:val="clear" w:color="auto" w:fill="C6D9F1" w:themeFill="text2" w:themeFillTint="33"/>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2017/18 Variance to NA</w:t>
            </w:r>
          </w:p>
        </w:tc>
      </w:tr>
      <w:tr w:rsidR="009640EE" w:rsidRPr="009640EE" w:rsidTr="009640EE">
        <w:trPr>
          <w:trHeight w:val="315"/>
        </w:trPr>
        <w:tc>
          <w:tcPr>
            <w:tcW w:w="369" w:type="pct"/>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353" w:type="pct"/>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Cohort</w:t>
            </w:r>
          </w:p>
        </w:tc>
        <w:tc>
          <w:tcPr>
            <w:tcW w:w="367" w:type="pct"/>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Overall</w:t>
            </w:r>
          </w:p>
        </w:tc>
        <w:tc>
          <w:tcPr>
            <w:tcW w:w="347" w:type="pct"/>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Timely</w:t>
            </w:r>
          </w:p>
        </w:tc>
        <w:tc>
          <w:tcPr>
            <w:tcW w:w="353" w:type="pct"/>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Cohort</w:t>
            </w:r>
          </w:p>
        </w:tc>
        <w:tc>
          <w:tcPr>
            <w:tcW w:w="367" w:type="pct"/>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Overall</w:t>
            </w:r>
          </w:p>
        </w:tc>
        <w:tc>
          <w:tcPr>
            <w:tcW w:w="347" w:type="pct"/>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Timely</w:t>
            </w:r>
          </w:p>
        </w:tc>
        <w:tc>
          <w:tcPr>
            <w:tcW w:w="367" w:type="pct"/>
            <w:tcBorders>
              <w:top w:val="nil"/>
              <w:left w:val="nil"/>
              <w:bottom w:val="single" w:sz="8" w:space="0" w:color="9BBB59"/>
              <w:right w:val="nil"/>
            </w:tcBorders>
            <w:shd w:val="clear" w:color="000000" w:fill="BFBFBF"/>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Overall</w:t>
            </w:r>
          </w:p>
        </w:tc>
        <w:tc>
          <w:tcPr>
            <w:tcW w:w="347" w:type="pct"/>
            <w:tcBorders>
              <w:top w:val="nil"/>
              <w:left w:val="nil"/>
              <w:bottom w:val="single" w:sz="8" w:space="0" w:color="9BBB59"/>
              <w:right w:val="nil"/>
            </w:tcBorders>
            <w:shd w:val="clear" w:color="000000" w:fill="BFBFBF"/>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Timely</w:t>
            </w:r>
          </w:p>
        </w:tc>
        <w:tc>
          <w:tcPr>
            <w:tcW w:w="353" w:type="pct"/>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Cohort</w:t>
            </w:r>
          </w:p>
        </w:tc>
        <w:tc>
          <w:tcPr>
            <w:tcW w:w="367" w:type="pct"/>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Overall</w:t>
            </w:r>
          </w:p>
        </w:tc>
        <w:tc>
          <w:tcPr>
            <w:tcW w:w="347" w:type="pct"/>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Timely</w:t>
            </w:r>
          </w:p>
        </w:tc>
        <w:tc>
          <w:tcPr>
            <w:tcW w:w="367" w:type="pct"/>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Overall</w:t>
            </w:r>
          </w:p>
        </w:tc>
        <w:tc>
          <w:tcPr>
            <w:tcW w:w="347" w:type="pct"/>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Timely</w:t>
            </w:r>
          </w:p>
        </w:tc>
      </w:tr>
      <w:tr w:rsidR="009640EE" w:rsidRPr="009640EE" w:rsidTr="009640EE">
        <w:trPr>
          <w:trHeight w:val="315"/>
        </w:trPr>
        <w:tc>
          <w:tcPr>
            <w:tcW w:w="369" w:type="pct"/>
            <w:tcBorders>
              <w:top w:val="single" w:sz="8" w:space="0" w:color="9BBB59"/>
              <w:left w:val="single" w:sz="8" w:space="0" w:color="9BBB59"/>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Male</w:t>
            </w:r>
          </w:p>
        </w:tc>
        <w:tc>
          <w:tcPr>
            <w:tcW w:w="353" w:type="pct"/>
            <w:tcBorders>
              <w:top w:val="single" w:sz="8" w:space="0" w:color="9BBB59"/>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826</w:t>
            </w:r>
          </w:p>
        </w:tc>
        <w:tc>
          <w:tcPr>
            <w:tcW w:w="367" w:type="pct"/>
            <w:tcBorders>
              <w:top w:val="single" w:sz="8" w:space="0" w:color="9BBB59"/>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71.8%</w:t>
            </w:r>
          </w:p>
        </w:tc>
        <w:tc>
          <w:tcPr>
            <w:tcW w:w="347" w:type="pct"/>
            <w:tcBorders>
              <w:top w:val="single" w:sz="8" w:space="0" w:color="9BBB59"/>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57.5%</w:t>
            </w:r>
          </w:p>
        </w:tc>
        <w:tc>
          <w:tcPr>
            <w:tcW w:w="353" w:type="pct"/>
            <w:tcBorders>
              <w:top w:val="single" w:sz="8" w:space="0" w:color="9BBB59"/>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683</w:t>
            </w:r>
          </w:p>
        </w:tc>
        <w:tc>
          <w:tcPr>
            <w:tcW w:w="367" w:type="pct"/>
            <w:tcBorders>
              <w:top w:val="single" w:sz="8" w:space="0" w:color="9BBB59"/>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70.0%</w:t>
            </w:r>
          </w:p>
        </w:tc>
        <w:tc>
          <w:tcPr>
            <w:tcW w:w="347" w:type="pct"/>
            <w:tcBorders>
              <w:top w:val="single" w:sz="8" w:space="0" w:color="9BBB59"/>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63.6%</w:t>
            </w:r>
          </w:p>
        </w:tc>
        <w:tc>
          <w:tcPr>
            <w:tcW w:w="367" w:type="pct"/>
            <w:tcBorders>
              <w:top w:val="nil"/>
              <w:left w:val="nil"/>
              <w:bottom w:val="single" w:sz="8" w:space="0" w:color="9BBB59"/>
              <w:right w:val="nil"/>
            </w:tcBorders>
            <w:shd w:val="clear" w:color="000000" w:fill="BFBFBF"/>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69.0%</w:t>
            </w:r>
          </w:p>
        </w:tc>
        <w:tc>
          <w:tcPr>
            <w:tcW w:w="347" w:type="pct"/>
            <w:tcBorders>
              <w:top w:val="nil"/>
              <w:left w:val="nil"/>
              <w:bottom w:val="single" w:sz="8" w:space="0" w:color="9BBB59"/>
              <w:right w:val="nil"/>
            </w:tcBorders>
            <w:shd w:val="clear" w:color="000000" w:fill="BFBFBF"/>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59.0%</w:t>
            </w:r>
          </w:p>
        </w:tc>
        <w:tc>
          <w:tcPr>
            <w:tcW w:w="353" w:type="pct"/>
            <w:tcBorders>
              <w:top w:val="single" w:sz="8" w:space="0" w:color="9BBB59"/>
              <w:left w:val="nil"/>
              <w:bottom w:val="single" w:sz="8" w:space="0" w:color="9BBB59"/>
              <w:right w:val="nil"/>
            </w:tcBorders>
            <w:shd w:val="clear" w:color="auto" w:fill="auto"/>
            <w:noWrap/>
            <w:vAlign w:val="center"/>
            <w:hideMark/>
          </w:tcPr>
          <w:p w:rsidR="009640EE" w:rsidRPr="009640EE" w:rsidRDefault="009640EE" w:rsidP="003F6F89">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80</w:t>
            </w:r>
            <w:r w:rsidR="003F6F89">
              <w:rPr>
                <w:rFonts w:ascii="Calibri" w:eastAsia="Times New Roman" w:hAnsi="Calibri" w:cs="Times New Roman"/>
                <w:color w:val="000000"/>
                <w:sz w:val="20"/>
                <w:szCs w:val="20"/>
                <w:lang w:eastAsia="en-GB"/>
              </w:rPr>
              <w:t>6</w:t>
            </w:r>
          </w:p>
        </w:tc>
        <w:tc>
          <w:tcPr>
            <w:tcW w:w="367" w:type="pct"/>
            <w:tcBorders>
              <w:top w:val="single" w:sz="8" w:space="0" w:color="9BBB59"/>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68.2%</w:t>
            </w:r>
          </w:p>
        </w:tc>
        <w:tc>
          <w:tcPr>
            <w:tcW w:w="347" w:type="pct"/>
            <w:tcBorders>
              <w:top w:val="single" w:sz="8" w:space="0" w:color="9BBB59"/>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56.5%</w:t>
            </w:r>
          </w:p>
        </w:tc>
        <w:tc>
          <w:tcPr>
            <w:tcW w:w="367" w:type="pct"/>
            <w:tcBorders>
              <w:top w:val="single" w:sz="8" w:space="0" w:color="9BBB59"/>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-0.8%</w:t>
            </w:r>
          </w:p>
        </w:tc>
        <w:tc>
          <w:tcPr>
            <w:tcW w:w="347" w:type="pct"/>
            <w:tcBorders>
              <w:top w:val="single" w:sz="8" w:space="0" w:color="9BBB59"/>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-2.5%</w:t>
            </w:r>
          </w:p>
        </w:tc>
      </w:tr>
      <w:tr w:rsidR="009640EE" w:rsidRPr="009640EE" w:rsidTr="009640EE">
        <w:trPr>
          <w:trHeight w:val="315"/>
        </w:trPr>
        <w:tc>
          <w:tcPr>
            <w:tcW w:w="369" w:type="pct"/>
            <w:tcBorders>
              <w:top w:val="nil"/>
              <w:left w:val="single" w:sz="8" w:space="0" w:color="9BBB59"/>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Female</w:t>
            </w:r>
          </w:p>
        </w:tc>
        <w:tc>
          <w:tcPr>
            <w:tcW w:w="353" w:type="pct"/>
            <w:tcBorders>
              <w:top w:val="nil"/>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1,175</w:t>
            </w:r>
          </w:p>
        </w:tc>
        <w:tc>
          <w:tcPr>
            <w:tcW w:w="367" w:type="pct"/>
            <w:tcBorders>
              <w:top w:val="nil"/>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72.9%</w:t>
            </w:r>
          </w:p>
        </w:tc>
        <w:tc>
          <w:tcPr>
            <w:tcW w:w="347" w:type="pct"/>
            <w:tcBorders>
              <w:top w:val="nil"/>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59.9%</w:t>
            </w:r>
          </w:p>
        </w:tc>
        <w:tc>
          <w:tcPr>
            <w:tcW w:w="353" w:type="pct"/>
            <w:tcBorders>
              <w:top w:val="nil"/>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915</w:t>
            </w:r>
          </w:p>
        </w:tc>
        <w:tc>
          <w:tcPr>
            <w:tcW w:w="367" w:type="pct"/>
            <w:tcBorders>
              <w:top w:val="nil"/>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71.1%</w:t>
            </w:r>
          </w:p>
        </w:tc>
        <w:tc>
          <w:tcPr>
            <w:tcW w:w="347" w:type="pct"/>
            <w:tcBorders>
              <w:top w:val="nil"/>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63.6%</w:t>
            </w:r>
          </w:p>
        </w:tc>
        <w:tc>
          <w:tcPr>
            <w:tcW w:w="367" w:type="pct"/>
            <w:tcBorders>
              <w:top w:val="nil"/>
              <w:left w:val="nil"/>
              <w:bottom w:val="single" w:sz="8" w:space="0" w:color="9BBB59"/>
              <w:right w:val="nil"/>
            </w:tcBorders>
            <w:shd w:val="clear" w:color="000000" w:fill="BFBFBF"/>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69.2%</w:t>
            </w:r>
          </w:p>
        </w:tc>
        <w:tc>
          <w:tcPr>
            <w:tcW w:w="347" w:type="pct"/>
            <w:tcBorders>
              <w:top w:val="nil"/>
              <w:left w:val="nil"/>
              <w:bottom w:val="single" w:sz="8" w:space="0" w:color="9BBB59"/>
              <w:right w:val="nil"/>
            </w:tcBorders>
            <w:shd w:val="clear" w:color="000000" w:fill="BFBFBF"/>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61.5%</w:t>
            </w:r>
          </w:p>
        </w:tc>
        <w:tc>
          <w:tcPr>
            <w:tcW w:w="353" w:type="pct"/>
            <w:tcBorders>
              <w:top w:val="nil"/>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1,141</w:t>
            </w:r>
          </w:p>
        </w:tc>
        <w:tc>
          <w:tcPr>
            <w:tcW w:w="367" w:type="pct"/>
            <w:tcBorders>
              <w:top w:val="nil"/>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71.6%</w:t>
            </w:r>
          </w:p>
        </w:tc>
        <w:tc>
          <w:tcPr>
            <w:tcW w:w="347" w:type="pct"/>
            <w:tcBorders>
              <w:top w:val="nil"/>
              <w:left w:val="nil"/>
              <w:bottom w:val="single" w:sz="8" w:space="0" w:color="9BBB59"/>
              <w:right w:val="nil"/>
            </w:tcBorders>
            <w:shd w:val="clear" w:color="auto" w:fill="auto"/>
            <w:noWrap/>
            <w:vAlign w:val="center"/>
            <w:hideMark/>
          </w:tcPr>
          <w:p w:rsidR="009640EE" w:rsidRPr="009640EE" w:rsidRDefault="009640EE" w:rsidP="003F6F89">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6</w:t>
            </w:r>
            <w:r w:rsidR="003F6F89">
              <w:rPr>
                <w:rFonts w:ascii="Calibri" w:eastAsia="Times New Roman" w:hAnsi="Calibri" w:cs="Times New Roman"/>
                <w:color w:val="000000"/>
                <w:sz w:val="20"/>
                <w:szCs w:val="20"/>
                <w:lang w:eastAsia="en-GB"/>
              </w:rPr>
              <w:t>2.1</w:t>
            </w:r>
            <w:r w:rsidRPr="009640EE">
              <w:rPr>
                <w:rFonts w:ascii="Calibri" w:eastAsia="Times New Roman" w:hAnsi="Calibri" w:cs="Times New Roman"/>
                <w:color w:val="000000"/>
                <w:sz w:val="20"/>
                <w:szCs w:val="20"/>
                <w:lang w:eastAsia="en-GB"/>
              </w:rPr>
              <w:t>%</w:t>
            </w:r>
          </w:p>
        </w:tc>
        <w:tc>
          <w:tcPr>
            <w:tcW w:w="367"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2.4%</w:t>
            </w:r>
          </w:p>
        </w:tc>
        <w:tc>
          <w:tcPr>
            <w:tcW w:w="347"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3F6F89">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0.</w:t>
            </w:r>
            <w:r w:rsidR="003F6F89">
              <w:rPr>
                <w:rFonts w:ascii="Calibri" w:eastAsia="Times New Roman" w:hAnsi="Calibri" w:cs="Times New Roman"/>
                <w:color w:val="000000"/>
                <w:sz w:val="20"/>
                <w:szCs w:val="20"/>
                <w:lang w:eastAsia="en-GB"/>
              </w:rPr>
              <w:t>6</w:t>
            </w:r>
            <w:r w:rsidRPr="009640EE">
              <w:rPr>
                <w:rFonts w:ascii="Calibri" w:eastAsia="Times New Roman" w:hAnsi="Calibri" w:cs="Times New Roman"/>
                <w:color w:val="000000"/>
                <w:sz w:val="20"/>
                <w:szCs w:val="20"/>
                <w:lang w:eastAsia="en-GB"/>
              </w:rPr>
              <w:t>%</w:t>
            </w:r>
          </w:p>
        </w:tc>
      </w:tr>
      <w:tr w:rsidR="009640EE" w:rsidRPr="009640EE" w:rsidTr="009640EE">
        <w:trPr>
          <w:trHeight w:val="315"/>
        </w:trPr>
        <w:tc>
          <w:tcPr>
            <w:tcW w:w="369" w:type="pct"/>
            <w:tcBorders>
              <w:top w:val="nil"/>
              <w:left w:val="single" w:sz="8" w:space="0" w:color="9BBB59"/>
              <w:bottom w:val="single" w:sz="8" w:space="0" w:color="9BBB59"/>
              <w:right w:val="single" w:sz="8" w:space="0" w:color="9BBB59"/>
            </w:tcBorders>
            <w:shd w:val="clear" w:color="000000" w:fill="BFBFBF"/>
            <w:noWrap/>
            <w:vAlign w:val="center"/>
            <w:hideMark/>
          </w:tcPr>
          <w:p w:rsidR="009640EE" w:rsidRPr="009640EE" w:rsidRDefault="009640EE" w:rsidP="009640EE">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GAP</w:t>
            </w:r>
          </w:p>
        </w:tc>
        <w:tc>
          <w:tcPr>
            <w:tcW w:w="353" w:type="pct"/>
            <w:tcBorders>
              <w:top w:val="nil"/>
              <w:left w:val="nil"/>
              <w:bottom w:val="single" w:sz="8" w:space="0" w:color="9BBB59"/>
              <w:right w:val="nil"/>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367" w:type="pct"/>
            <w:tcBorders>
              <w:top w:val="nil"/>
              <w:left w:val="nil"/>
              <w:bottom w:val="single" w:sz="8" w:space="0" w:color="9BBB59"/>
              <w:right w:val="nil"/>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1.1%</w:t>
            </w:r>
          </w:p>
        </w:tc>
        <w:tc>
          <w:tcPr>
            <w:tcW w:w="347" w:type="pct"/>
            <w:tcBorders>
              <w:top w:val="nil"/>
              <w:left w:val="nil"/>
              <w:bottom w:val="single" w:sz="8" w:space="0" w:color="9BBB59"/>
              <w:right w:val="nil"/>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2.4%</w:t>
            </w:r>
          </w:p>
        </w:tc>
        <w:tc>
          <w:tcPr>
            <w:tcW w:w="353" w:type="pct"/>
            <w:tcBorders>
              <w:top w:val="nil"/>
              <w:left w:val="nil"/>
              <w:bottom w:val="single" w:sz="8" w:space="0" w:color="9BBB59"/>
              <w:right w:val="nil"/>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367" w:type="pct"/>
            <w:tcBorders>
              <w:top w:val="nil"/>
              <w:left w:val="nil"/>
              <w:bottom w:val="single" w:sz="8" w:space="0" w:color="9BBB59"/>
              <w:right w:val="nil"/>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1.1%</w:t>
            </w:r>
          </w:p>
        </w:tc>
        <w:tc>
          <w:tcPr>
            <w:tcW w:w="347" w:type="pct"/>
            <w:tcBorders>
              <w:top w:val="nil"/>
              <w:left w:val="nil"/>
              <w:bottom w:val="single" w:sz="8" w:space="0" w:color="9BBB59"/>
              <w:right w:val="nil"/>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0.0%</w:t>
            </w:r>
          </w:p>
        </w:tc>
        <w:tc>
          <w:tcPr>
            <w:tcW w:w="367" w:type="pct"/>
            <w:tcBorders>
              <w:top w:val="nil"/>
              <w:left w:val="nil"/>
              <w:bottom w:val="single" w:sz="8" w:space="0" w:color="9BBB59"/>
              <w:right w:val="nil"/>
            </w:tcBorders>
            <w:shd w:val="clear" w:color="000000" w:fill="BFBFBF"/>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0.2%</w:t>
            </w:r>
          </w:p>
        </w:tc>
        <w:tc>
          <w:tcPr>
            <w:tcW w:w="347" w:type="pct"/>
            <w:tcBorders>
              <w:top w:val="nil"/>
              <w:left w:val="nil"/>
              <w:bottom w:val="single" w:sz="8" w:space="0" w:color="9BBB59"/>
              <w:right w:val="nil"/>
            </w:tcBorders>
            <w:shd w:val="clear" w:color="000000" w:fill="BFBFBF"/>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2.5%</w:t>
            </w:r>
          </w:p>
        </w:tc>
        <w:tc>
          <w:tcPr>
            <w:tcW w:w="353" w:type="pct"/>
            <w:tcBorders>
              <w:top w:val="nil"/>
              <w:left w:val="nil"/>
              <w:bottom w:val="single" w:sz="8" w:space="0" w:color="9BBB59"/>
              <w:right w:val="nil"/>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367" w:type="pct"/>
            <w:tcBorders>
              <w:top w:val="nil"/>
              <w:left w:val="nil"/>
              <w:bottom w:val="single" w:sz="8" w:space="0" w:color="9BBB59"/>
              <w:right w:val="nil"/>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3.5%</w:t>
            </w:r>
          </w:p>
        </w:tc>
        <w:tc>
          <w:tcPr>
            <w:tcW w:w="347" w:type="pct"/>
            <w:tcBorders>
              <w:top w:val="nil"/>
              <w:left w:val="nil"/>
              <w:bottom w:val="single" w:sz="8" w:space="0" w:color="9BBB59"/>
              <w:right w:val="nil"/>
            </w:tcBorders>
            <w:shd w:val="clear" w:color="000000" w:fill="BFBFBF"/>
            <w:noWrap/>
            <w:vAlign w:val="center"/>
            <w:hideMark/>
          </w:tcPr>
          <w:p w:rsidR="009640EE" w:rsidRPr="009640EE" w:rsidRDefault="009640EE" w:rsidP="0039703A">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5.</w:t>
            </w:r>
            <w:r w:rsidR="0039703A">
              <w:rPr>
                <w:rFonts w:ascii="Calibri" w:eastAsia="Times New Roman" w:hAnsi="Calibri" w:cs="Times New Roman"/>
                <w:color w:val="000000"/>
                <w:sz w:val="20"/>
                <w:szCs w:val="20"/>
                <w:lang w:eastAsia="en-GB"/>
              </w:rPr>
              <w:t>6</w:t>
            </w:r>
            <w:r w:rsidRPr="009640EE">
              <w:rPr>
                <w:rFonts w:ascii="Calibri" w:eastAsia="Times New Roman" w:hAnsi="Calibri" w:cs="Times New Roman"/>
                <w:color w:val="000000"/>
                <w:sz w:val="20"/>
                <w:szCs w:val="20"/>
                <w:lang w:eastAsia="en-GB"/>
              </w:rPr>
              <w:t>%</w:t>
            </w:r>
          </w:p>
        </w:tc>
        <w:tc>
          <w:tcPr>
            <w:tcW w:w="367" w:type="pct"/>
            <w:tcBorders>
              <w:top w:val="nil"/>
              <w:left w:val="nil"/>
              <w:bottom w:val="single" w:sz="8" w:space="0" w:color="9BBB59"/>
              <w:right w:val="single" w:sz="8" w:space="0" w:color="9BBB59"/>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347" w:type="pct"/>
            <w:tcBorders>
              <w:top w:val="nil"/>
              <w:left w:val="nil"/>
              <w:bottom w:val="single" w:sz="8" w:space="0" w:color="9BBB59"/>
              <w:right w:val="single" w:sz="8" w:space="0" w:color="9BBB59"/>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r>
    </w:tbl>
    <w:p w:rsidR="009640EE" w:rsidRPr="009640EE" w:rsidRDefault="009640EE" w:rsidP="009640EE">
      <w:pPr>
        <w:spacing w:after="0" w:line="240" w:lineRule="auto"/>
      </w:pPr>
    </w:p>
    <w:p w:rsidR="009640EE" w:rsidRPr="009640EE" w:rsidRDefault="009640EE" w:rsidP="009640EE">
      <w:pPr>
        <w:spacing w:after="0" w:line="240" w:lineRule="auto"/>
      </w:pPr>
      <w:r w:rsidRPr="009640EE">
        <w:lastRenderedPageBreak/>
        <w:t>There is a small emerging gap in relation to gender, particularly in timely achievement and is slightly above average.</w:t>
      </w:r>
      <w:r w:rsidR="0039703A">
        <w:t xml:space="preserve"> </w:t>
      </w:r>
      <w:r w:rsidRPr="009640EE">
        <w:t xml:space="preserve"> This has been impacted by a fall in achievement rates for construction provision where the number of apprentices is disproportionately male.</w:t>
      </w:r>
    </w:p>
    <w:p w:rsidR="009640EE" w:rsidRPr="009640EE" w:rsidRDefault="009640EE" w:rsidP="009640EE">
      <w:pPr>
        <w:spacing w:after="0" w:line="240" w:lineRule="auto"/>
        <w:rPr>
          <w:b/>
        </w:rPr>
      </w:pPr>
      <w:r w:rsidRPr="009640EE">
        <w:rPr>
          <w:b/>
        </w:rPr>
        <w:t>Overall and Timely achievement by Gender – LU Derby</w:t>
      </w:r>
    </w:p>
    <w:p w:rsidR="009640EE" w:rsidRPr="009640EE" w:rsidRDefault="009640EE" w:rsidP="009640EE">
      <w:pPr>
        <w:spacing w:after="0" w:line="240" w:lineRule="auto"/>
      </w:pPr>
    </w:p>
    <w:tbl>
      <w:tblPr>
        <w:tblW w:w="11057" w:type="dxa"/>
        <w:tblInd w:w="-1026" w:type="dxa"/>
        <w:tblLook w:val="04A0" w:firstRow="1" w:lastRow="0" w:firstColumn="1" w:lastColumn="0" w:noHBand="0" w:noVBand="1"/>
      </w:tblPr>
      <w:tblGrid>
        <w:gridCol w:w="820"/>
        <w:gridCol w:w="785"/>
        <w:gridCol w:w="815"/>
        <w:gridCol w:w="772"/>
        <w:gridCol w:w="785"/>
        <w:gridCol w:w="815"/>
        <w:gridCol w:w="772"/>
        <w:gridCol w:w="815"/>
        <w:gridCol w:w="772"/>
        <w:gridCol w:w="785"/>
        <w:gridCol w:w="815"/>
        <w:gridCol w:w="772"/>
        <w:gridCol w:w="815"/>
        <w:gridCol w:w="772"/>
      </w:tblGrid>
      <w:tr w:rsidR="009640EE" w:rsidRPr="009640EE" w:rsidTr="009640EE">
        <w:trPr>
          <w:trHeight w:val="510"/>
        </w:trPr>
        <w:tc>
          <w:tcPr>
            <w:tcW w:w="0" w:type="auto"/>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0" w:type="auto"/>
            <w:gridSpan w:val="3"/>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2015/16 QAR</w:t>
            </w:r>
          </w:p>
        </w:tc>
        <w:tc>
          <w:tcPr>
            <w:tcW w:w="0" w:type="auto"/>
            <w:gridSpan w:val="3"/>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2016/17 QAR</w:t>
            </w:r>
          </w:p>
        </w:tc>
        <w:tc>
          <w:tcPr>
            <w:tcW w:w="0" w:type="auto"/>
            <w:gridSpan w:val="2"/>
            <w:tcBorders>
              <w:top w:val="nil"/>
              <w:left w:val="nil"/>
              <w:bottom w:val="nil"/>
              <w:right w:val="nil"/>
            </w:tcBorders>
            <w:shd w:val="clear" w:color="000000" w:fill="BFBFBF"/>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2016/17             Provider Profile Average</w:t>
            </w:r>
          </w:p>
        </w:tc>
        <w:tc>
          <w:tcPr>
            <w:tcW w:w="0" w:type="auto"/>
            <w:gridSpan w:val="3"/>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2017/18</w:t>
            </w:r>
          </w:p>
        </w:tc>
        <w:tc>
          <w:tcPr>
            <w:tcW w:w="1534" w:type="dxa"/>
            <w:gridSpan w:val="2"/>
            <w:tcBorders>
              <w:top w:val="nil"/>
              <w:left w:val="nil"/>
              <w:bottom w:val="nil"/>
              <w:right w:val="nil"/>
            </w:tcBorders>
            <w:shd w:val="clear" w:color="auto" w:fill="C6D9F1" w:themeFill="text2" w:themeFillTint="33"/>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2017/18 Variance to NA</w:t>
            </w:r>
          </w:p>
        </w:tc>
      </w:tr>
      <w:tr w:rsidR="009640EE" w:rsidRPr="009640EE" w:rsidTr="009640EE">
        <w:trPr>
          <w:trHeight w:val="315"/>
        </w:trPr>
        <w:tc>
          <w:tcPr>
            <w:tcW w:w="0" w:type="auto"/>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0" w:type="auto"/>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Cohort</w:t>
            </w:r>
          </w:p>
        </w:tc>
        <w:tc>
          <w:tcPr>
            <w:tcW w:w="0" w:type="auto"/>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Overall</w:t>
            </w:r>
          </w:p>
        </w:tc>
        <w:tc>
          <w:tcPr>
            <w:tcW w:w="0" w:type="auto"/>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Timely</w:t>
            </w:r>
          </w:p>
        </w:tc>
        <w:tc>
          <w:tcPr>
            <w:tcW w:w="0" w:type="auto"/>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Cohort</w:t>
            </w:r>
          </w:p>
        </w:tc>
        <w:tc>
          <w:tcPr>
            <w:tcW w:w="0" w:type="auto"/>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Overall</w:t>
            </w:r>
          </w:p>
        </w:tc>
        <w:tc>
          <w:tcPr>
            <w:tcW w:w="0" w:type="auto"/>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Timely</w:t>
            </w:r>
          </w:p>
        </w:tc>
        <w:tc>
          <w:tcPr>
            <w:tcW w:w="0" w:type="auto"/>
            <w:tcBorders>
              <w:top w:val="nil"/>
              <w:left w:val="nil"/>
              <w:bottom w:val="single" w:sz="8" w:space="0" w:color="9BBB59"/>
              <w:right w:val="nil"/>
            </w:tcBorders>
            <w:shd w:val="clear" w:color="000000" w:fill="BFBFBF"/>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Overall</w:t>
            </w:r>
          </w:p>
        </w:tc>
        <w:tc>
          <w:tcPr>
            <w:tcW w:w="0" w:type="auto"/>
            <w:tcBorders>
              <w:top w:val="nil"/>
              <w:left w:val="nil"/>
              <w:bottom w:val="single" w:sz="8" w:space="0" w:color="9BBB59"/>
              <w:right w:val="nil"/>
            </w:tcBorders>
            <w:shd w:val="clear" w:color="000000" w:fill="BFBFBF"/>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Timely</w:t>
            </w:r>
          </w:p>
        </w:tc>
        <w:tc>
          <w:tcPr>
            <w:tcW w:w="0" w:type="auto"/>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Cohort</w:t>
            </w:r>
          </w:p>
        </w:tc>
        <w:tc>
          <w:tcPr>
            <w:tcW w:w="0" w:type="auto"/>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Overall</w:t>
            </w:r>
          </w:p>
        </w:tc>
        <w:tc>
          <w:tcPr>
            <w:tcW w:w="0" w:type="auto"/>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Timely</w:t>
            </w:r>
          </w:p>
        </w:tc>
        <w:tc>
          <w:tcPr>
            <w:tcW w:w="0" w:type="auto"/>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Overall</w:t>
            </w:r>
          </w:p>
        </w:tc>
        <w:tc>
          <w:tcPr>
            <w:tcW w:w="719" w:type="dxa"/>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Timely</w:t>
            </w:r>
          </w:p>
        </w:tc>
      </w:tr>
      <w:tr w:rsidR="009640EE" w:rsidRPr="009640EE" w:rsidTr="009640EE">
        <w:trPr>
          <w:trHeight w:val="315"/>
        </w:trPr>
        <w:tc>
          <w:tcPr>
            <w:tcW w:w="0" w:type="auto"/>
            <w:tcBorders>
              <w:top w:val="single" w:sz="8" w:space="0" w:color="9BBB59"/>
              <w:left w:val="single" w:sz="8" w:space="0" w:color="9BBB59"/>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Male</w:t>
            </w:r>
          </w:p>
        </w:tc>
        <w:tc>
          <w:tcPr>
            <w:tcW w:w="0" w:type="auto"/>
            <w:tcBorders>
              <w:top w:val="single" w:sz="8" w:space="0" w:color="9BBB59"/>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149</w:t>
            </w:r>
          </w:p>
        </w:tc>
        <w:tc>
          <w:tcPr>
            <w:tcW w:w="0" w:type="auto"/>
            <w:tcBorders>
              <w:top w:val="single" w:sz="8" w:space="0" w:color="9BBB59"/>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79.9%</w:t>
            </w:r>
          </w:p>
        </w:tc>
        <w:tc>
          <w:tcPr>
            <w:tcW w:w="0" w:type="auto"/>
            <w:tcBorders>
              <w:top w:val="single" w:sz="8" w:space="0" w:color="9BBB59"/>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74.1%</w:t>
            </w:r>
          </w:p>
        </w:tc>
        <w:tc>
          <w:tcPr>
            <w:tcW w:w="0" w:type="auto"/>
            <w:tcBorders>
              <w:top w:val="single" w:sz="8" w:space="0" w:color="9BBB59"/>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163</w:t>
            </w:r>
          </w:p>
        </w:tc>
        <w:tc>
          <w:tcPr>
            <w:tcW w:w="0" w:type="auto"/>
            <w:tcBorders>
              <w:top w:val="single" w:sz="8" w:space="0" w:color="9BBB59"/>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82.2%</w:t>
            </w:r>
          </w:p>
        </w:tc>
        <w:tc>
          <w:tcPr>
            <w:tcW w:w="0" w:type="auto"/>
            <w:tcBorders>
              <w:top w:val="single" w:sz="8" w:space="0" w:color="9BBB59"/>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82.2%</w:t>
            </w:r>
          </w:p>
        </w:tc>
        <w:tc>
          <w:tcPr>
            <w:tcW w:w="0" w:type="auto"/>
            <w:tcBorders>
              <w:top w:val="nil"/>
              <w:left w:val="nil"/>
              <w:bottom w:val="single" w:sz="8" w:space="0" w:color="9BBB59"/>
              <w:right w:val="nil"/>
            </w:tcBorders>
            <w:shd w:val="clear" w:color="000000" w:fill="BFBFBF"/>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66.0%</w:t>
            </w:r>
          </w:p>
        </w:tc>
        <w:tc>
          <w:tcPr>
            <w:tcW w:w="0" w:type="auto"/>
            <w:tcBorders>
              <w:top w:val="nil"/>
              <w:left w:val="nil"/>
              <w:bottom w:val="single" w:sz="8" w:space="0" w:color="9BBB59"/>
              <w:right w:val="nil"/>
            </w:tcBorders>
            <w:shd w:val="clear" w:color="000000" w:fill="BFBFBF"/>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57.1%</w:t>
            </w:r>
          </w:p>
        </w:tc>
        <w:tc>
          <w:tcPr>
            <w:tcW w:w="0" w:type="auto"/>
            <w:tcBorders>
              <w:top w:val="single" w:sz="8" w:space="0" w:color="9BBB59"/>
              <w:left w:val="nil"/>
              <w:bottom w:val="single" w:sz="8" w:space="0" w:color="9BBB59"/>
              <w:right w:val="nil"/>
            </w:tcBorders>
            <w:shd w:val="clear" w:color="auto" w:fill="auto"/>
            <w:noWrap/>
            <w:vAlign w:val="center"/>
            <w:hideMark/>
          </w:tcPr>
          <w:p w:rsidR="009640EE" w:rsidRPr="009640EE" w:rsidRDefault="009640EE" w:rsidP="0039703A">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17</w:t>
            </w:r>
            <w:r w:rsidR="0039703A">
              <w:rPr>
                <w:rFonts w:ascii="Calibri" w:eastAsia="Times New Roman" w:hAnsi="Calibri" w:cs="Times New Roman"/>
                <w:color w:val="000000"/>
                <w:sz w:val="20"/>
                <w:szCs w:val="20"/>
                <w:lang w:eastAsia="en-GB"/>
              </w:rPr>
              <w:t>5</w:t>
            </w:r>
          </w:p>
        </w:tc>
        <w:tc>
          <w:tcPr>
            <w:tcW w:w="0" w:type="auto"/>
            <w:tcBorders>
              <w:top w:val="single" w:sz="8" w:space="0" w:color="9BBB59"/>
              <w:left w:val="nil"/>
              <w:bottom w:val="single" w:sz="8" w:space="0" w:color="9BBB59"/>
              <w:right w:val="nil"/>
            </w:tcBorders>
            <w:shd w:val="clear" w:color="auto" w:fill="auto"/>
            <w:noWrap/>
            <w:vAlign w:val="center"/>
            <w:hideMark/>
          </w:tcPr>
          <w:p w:rsidR="009640EE" w:rsidRPr="009640EE" w:rsidRDefault="009640EE" w:rsidP="0039703A">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w:t>
            </w:r>
            <w:r w:rsidR="0039703A">
              <w:rPr>
                <w:rFonts w:ascii="Calibri" w:eastAsia="Times New Roman" w:hAnsi="Calibri" w:cs="Times New Roman"/>
                <w:color w:val="000000"/>
                <w:sz w:val="20"/>
                <w:szCs w:val="20"/>
                <w:lang w:eastAsia="en-GB"/>
              </w:rPr>
              <w:t>8.9</w:t>
            </w:r>
            <w:r w:rsidRPr="009640EE">
              <w:rPr>
                <w:rFonts w:ascii="Calibri" w:eastAsia="Times New Roman" w:hAnsi="Calibri" w:cs="Times New Roman"/>
                <w:color w:val="000000"/>
                <w:sz w:val="20"/>
                <w:szCs w:val="20"/>
                <w:lang w:eastAsia="en-GB"/>
              </w:rPr>
              <w:t>%</w:t>
            </w:r>
          </w:p>
        </w:tc>
        <w:tc>
          <w:tcPr>
            <w:tcW w:w="0" w:type="auto"/>
            <w:tcBorders>
              <w:top w:val="single" w:sz="8" w:space="0" w:color="9BBB59"/>
              <w:left w:val="nil"/>
              <w:bottom w:val="single" w:sz="8" w:space="0" w:color="9BBB59"/>
              <w:right w:val="nil"/>
            </w:tcBorders>
            <w:shd w:val="clear" w:color="auto" w:fill="auto"/>
            <w:noWrap/>
            <w:vAlign w:val="center"/>
            <w:hideMark/>
          </w:tcPr>
          <w:p w:rsidR="009640EE" w:rsidRPr="009640EE" w:rsidRDefault="009640EE" w:rsidP="0039703A">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79.</w:t>
            </w:r>
            <w:r w:rsidR="0039703A">
              <w:rPr>
                <w:rFonts w:ascii="Calibri" w:eastAsia="Times New Roman" w:hAnsi="Calibri" w:cs="Times New Roman"/>
                <w:color w:val="000000"/>
                <w:sz w:val="20"/>
                <w:szCs w:val="20"/>
                <w:lang w:eastAsia="en-GB"/>
              </w:rPr>
              <w:t>3</w:t>
            </w:r>
            <w:r w:rsidRPr="009640EE">
              <w:rPr>
                <w:rFonts w:ascii="Calibri" w:eastAsia="Times New Roman" w:hAnsi="Calibri" w:cs="Times New Roman"/>
                <w:color w:val="000000"/>
                <w:sz w:val="20"/>
                <w:szCs w:val="20"/>
                <w:lang w:eastAsia="en-GB"/>
              </w:rPr>
              <w:t>%</w:t>
            </w:r>
          </w:p>
        </w:tc>
        <w:tc>
          <w:tcPr>
            <w:tcW w:w="0" w:type="auto"/>
            <w:tcBorders>
              <w:top w:val="single" w:sz="8" w:space="0" w:color="9BBB59"/>
              <w:left w:val="nil"/>
              <w:bottom w:val="single" w:sz="8" w:space="0" w:color="9BBB59"/>
              <w:right w:val="single" w:sz="8" w:space="0" w:color="9BBB59"/>
            </w:tcBorders>
            <w:shd w:val="clear" w:color="auto" w:fill="auto"/>
            <w:noWrap/>
            <w:vAlign w:val="center"/>
            <w:hideMark/>
          </w:tcPr>
          <w:p w:rsidR="009640EE" w:rsidRPr="009640EE" w:rsidRDefault="009640EE" w:rsidP="0039703A">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w:t>
            </w:r>
            <w:r w:rsidR="0039703A">
              <w:rPr>
                <w:rFonts w:ascii="Calibri" w:eastAsia="Times New Roman" w:hAnsi="Calibri" w:cs="Times New Roman"/>
                <w:color w:val="000000"/>
                <w:sz w:val="20"/>
                <w:szCs w:val="20"/>
                <w:lang w:eastAsia="en-GB"/>
              </w:rPr>
              <w:t>2.9</w:t>
            </w:r>
            <w:r w:rsidRPr="009640EE">
              <w:rPr>
                <w:rFonts w:ascii="Calibri" w:eastAsia="Times New Roman" w:hAnsi="Calibri" w:cs="Times New Roman"/>
                <w:color w:val="000000"/>
                <w:sz w:val="20"/>
                <w:szCs w:val="20"/>
                <w:lang w:eastAsia="en-GB"/>
              </w:rPr>
              <w:t>%</w:t>
            </w:r>
          </w:p>
        </w:tc>
        <w:tc>
          <w:tcPr>
            <w:tcW w:w="719" w:type="dxa"/>
            <w:tcBorders>
              <w:top w:val="single" w:sz="8" w:space="0" w:color="9BBB59"/>
              <w:left w:val="nil"/>
              <w:bottom w:val="single" w:sz="8" w:space="0" w:color="9BBB59"/>
              <w:right w:val="single" w:sz="8" w:space="0" w:color="9BBB59"/>
            </w:tcBorders>
            <w:shd w:val="clear" w:color="auto" w:fill="auto"/>
            <w:noWrap/>
            <w:vAlign w:val="center"/>
            <w:hideMark/>
          </w:tcPr>
          <w:p w:rsidR="009640EE" w:rsidRPr="009640EE" w:rsidRDefault="009640EE" w:rsidP="0039703A">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22.</w:t>
            </w:r>
            <w:r w:rsidR="0039703A">
              <w:rPr>
                <w:rFonts w:ascii="Calibri" w:eastAsia="Times New Roman" w:hAnsi="Calibri" w:cs="Times New Roman"/>
                <w:color w:val="000000"/>
                <w:sz w:val="20"/>
                <w:szCs w:val="20"/>
                <w:lang w:eastAsia="en-GB"/>
              </w:rPr>
              <w:t>2</w:t>
            </w:r>
            <w:r w:rsidRPr="009640EE">
              <w:rPr>
                <w:rFonts w:ascii="Calibri" w:eastAsia="Times New Roman" w:hAnsi="Calibri" w:cs="Times New Roman"/>
                <w:color w:val="000000"/>
                <w:sz w:val="20"/>
                <w:szCs w:val="20"/>
                <w:lang w:eastAsia="en-GB"/>
              </w:rPr>
              <w:t>%</w:t>
            </w:r>
          </w:p>
        </w:tc>
      </w:tr>
      <w:tr w:rsidR="009640EE" w:rsidRPr="009640EE" w:rsidTr="009640EE">
        <w:trPr>
          <w:trHeight w:val="315"/>
        </w:trPr>
        <w:tc>
          <w:tcPr>
            <w:tcW w:w="0" w:type="auto"/>
            <w:tcBorders>
              <w:top w:val="nil"/>
              <w:left w:val="single" w:sz="8" w:space="0" w:color="9BBB59"/>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Female</w:t>
            </w:r>
          </w:p>
        </w:tc>
        <w:tc>
          <w:tcPr>
            <w:tcW w:w="0" w:type="auto"/>
            <w:tcBorders>
              <w:top w:val="nil"/>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55</w:t>
            </w:r>
          </w:p>
        </w:tc>
        <w:tc>
          <w:tcPr>
            <w:tcW w:w="0" w:type="auto"/>
            <w:tcBorders>
              <w:top w:val="nil"/>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87.3%</w:t>
            </w:r>
          </w:p>
        </w:tc>
        <w:tc>
          <w:tcPr>
            <w:tcW w:w="0" w:type="auto"/>
            <w:tcBorders>
              <w:top w:val="nil"/>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85.2%</w:t>
            </w:r>
          </w:p>
        </w:tc>
        <w:tc>
          <w:tcPr>
            <w:tcW w:w="0" w:type="auto"/>
            <w:tcBorders>
              <w:top w:val="nil"/>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62</w:t>
            </w:r>
          </w:p>
        </w:tc>
        <w:tc>
          <w:tcPr>
            <w:tcW w:w="0" w:type="auto"/>
            <w:tcBorders>
              <w:top w:val="nil"/>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91.9%</w:t>
            </w:r>
          </w:p>
        </w:tc>
        <w:tc>
          <w:tcPr>
            <w:tcW w:w="0" w:type="auto"/>
            <w:tcBorders>
              <w:top w:val="nil"/>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91.9%</w:t>
            </w:r>
          </w:p>
        </w:tc>
        <w:tc>
          <w:tcPr>
            <w:tcW w:w="0" w:type="auto"/>
            <w:tcBorders>
              <w:top w:val="nil"/>
              <w:left w:val="nil"/>
              <w:bottom w:val="single" w:sz="8" w:space="0" w:color="9BBB59"/>
              <w:right w:val="nil"/>
            </w:tcBorders>
            <w:shd w:val="clear" w:color="000000" w:fill="BFBFBF"/>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66.3%</w:t>
            </w:r>
          </w:p>
        </w:tc>
        <w:tc>
          <w:tcPr>
            <w:tcW w:w="0" w:type="auto"/>
            <w:tcBorders>
              <w:top w:val="nil"/>
              <w:left w:val="nil"/>
              <w:bottom w:val="single" w:sz="8" w:space="0" w:color="9BBB59"/>
              <w:right w:val="nil"/>
            </w:tcBorders>
            <w:shd w:val="clear" w:color="000000" w:fill="BFBFBF"/>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58.9%</w:t>
            </w:r>
          </w:p>
        </w:tc>
        <w:tc>
          <w:tcPr>
            <w:tcW w:w="0" w:type="auto"/>
            <w:tcBorders>
              <w:top w:val="nil"/>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76</w:t>
            </w:r>
          </w:p>
        </w:tc>
        <w:tc>
          <w:tcPr>
            <w:tcW w:w="0" w:type="auto"/>
            <w:tcBorders>
              <w:top w:val="nil"/>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81.6%</w:t>
            </w:r>
          </w:p>
        </w:tc>
        <w:tc>
          <w:tcPr>
            <w:tcW w:w="0" w:type="auto"/>
            <w:tcBorders>
              <w:top w:val="nil"/>
              <w:left w:val="nil"/>
              <w:bottom w:val="single" w:sz="8" w:space="0" w:color="9BBB59"/>
              <w:right w:val="nil"/>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82.7%</w:t>
            </w:r>
          </w:p>
        </w:tc>
        <w:tc>
          <w:tcPr>
            <w:tcW w:w="0" w:type="auto"/>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15.3%</w:t>
            </w:r>
          </w:p>
        </w:tc>
        <w:tc>
          <w:tcPr>
            <w:tcW w:w="719" w:type="dxa"/>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23.8%</w:t>
            </w:r>
          </w:p>
        </w:tc>
      </w:tr>
      <w:tr w:rsidR="009640EE" w:rsidRPr="009640EE" w:rsidTr="009640EE">
        <w:trPr>
          <w:trHeight w:val="315"/>
        </w:trPr>
        <w:tc>
          <w:tcPr>
            <w:tcW w:w="0" w:type="auto"/>
            <w:tcBorders>
              <w:top w:val="nil"/>
              <w:left w:val="single" w:sz="8" w:space="0" w:color="9BBB59"/>
              <w:bottom w:val="single" w:sz="8" w:space="0" w:color="9BBB59"/>
              <w:right w:val="single" w:sz="8" w:space="0" w:color="9BBB59"/>
            </w:tcBorders>
            <w:shd w:val="clear" w:color="000000" w:fill="BFBFBF"/>
            <w:noWrap/>
            <w:vAlign w:val="center"/>
            <w:hideMark/>
          </w:tcPr>
          <w:p w:rsidR="009640EE" w:rsidRPr="009640EE" w:rsidRDefault="009640EE" w:rsidP="009640EE">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GAP</w:t>
            </w:r>
          </w:p>
        </w:tc>
        <w:tc>
          <w:tcPr>
            <w:tcW w:w="0" w:type="auto"/>
            <w:tcBorders>
              <w:top w:val="nil"/>
              <w:left w:val="nil"/>
              <w:bottom w:val="single" w:sz="8" w:space="0" w:color="9BBB59"/>
              <w:right w:val="nil"/>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0" w:type="auto"/>
            <w:tcBorders>
              <w:top w:val="nil"/>
              <w:left w:val="nil"/>
              <w:bottom w:val="single" w:sz="8" w:space="0" w:color="9BBB59"/>
              <w:right w:val="nil"/>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7.4%</w:t>
            </w:r>
          </w:p>
        </w:tc>
        <w:tc>
          <w:tcPr>
            <w:tcW w:w="0" w:type="auto"/>
            <w:tcBorders>
              <w:top w:val="nil"/>
              <w:left w:val="nil"/>
              <w:bottom w:val="single" w:sz="8" w:space="0" w:color="9BBB59"/>
              <w:right w:val="nil"/>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11.1%</w:t>
            </w:r>
          </w:p>
        </w:tc>
        <w:tc>
          <w:tcPr>
            <w:tcW w:w="0" w:type="auto"/>
            <w:tcBorders>
              <w:top w:val="nil"/>
              <w:left w:val="nil"/>
              <w:bottom w:val="single" w:sz="8" w:space="0" w:color="9BBB59"/>
              <w:right w:val="nil"/>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0" w:type="auto"/>
            <w:tcBorders>
              <w:top w:val="nil"/>
              <w:left w:val="nil"/>
              <w:bottom w:val="single" w:sz="8" w:space="0" w:color="9BBB59"/>
              <w:right w:val="nil"/>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9.7%</w:t>
            </w:r>
          </w:p>
        </w:tc>
        <w:tc>
          <w:tcPr>
            <w:tcW w:w="0" w:type="auto"/>
            <w:tcBorders>
              <w:top w:val="nil"/>
              <w:left w:val="nil"/>
              <w:bottom w:val="single" w:sz="8" w:space="0" w:color="9BBB59"/>
              <w:right w:val="nil"/>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9.7%</w:t>
            </w:r>
          </w:p>
        </w:tc>
        <w:tc>
          <w:tcPr>
            <w:tcW w:w="0" w:type="auto"/>
            <w:tcBorders>
              <w:top w:val="nil"/>
              <w:left w:val="nil"/>
              <w:bottom w:val="single" w:sz="8" w:space="0" w:color="9BBB59"/>
              <w:right w:val="nil"/>
            </w:tcBorders>
            <w:shd w:val="clear" w:color="000000" w:fill="BFBFBF"/>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0.3%</w:t>
            </w:r>
          </w:p>
        </w:tc>
        <w:tc>
          <w:tcPr>
            <w:tcW w:w="0" w:type="auto"/>
            <w:tcBorders>
              <w:top w:val="nil"/>
              <w:left w:val="nil"/>
              <w:bottom w:val="single" w:sz="8" w:space="0" w:color="9BBB59"/>
              <w:right w:val="nil"/>
            </w:tcBorders>
            <w:shd w:val="clear" w:color="000000" w:fill="BFBFBF"/>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1.8%</w:t>
            </w:r>
          </w:p>
        </w:tc>
        <w:tc>
          <w:tcPr>
            <w:tcW w:w="0" w:type="auto"/>
            <w:tcBorders>
              <w:top w:val="nil"/>
              <w:left w:val="nil"/>
              <w:bottom w:val="single" w:sz="8" w:space="0" w:color="9BBB59"/>
              <w:right w:val="nil"/>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0" w:type="auto"/>
            <w:tcBorders>
              <w:top w:val="nil"/>
              <w:left w:val="nil"/>
              <w:bottom w:val="single" w:sz="8" w:space="0" w:color="9BBB59"/>
              <w:right w:val="nil"/>
            </w:tcBorders>
            <w:shd w:val="clear" w:color="000000" w:fill="BFBFBF"/>
            <w:noWrap/>
            <w:vAlign w:val="center"/>
            <w:hideMark/>
          </w:tcPr>
          <w:p w:rsidR="009640EE" w:rsidRPr="009640EE" w:rsidRDefault="009640EE" w:rsidP="0039703A">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2.</w:t>
            </w:r>
            <w:r w:rsidR="0039703A">
              <w:rPr>
                <w:rFonts w:ascii="Calibri" w:eastAsia="Times New Roman" w:hAnsi="Calibri" w:cs="Times New Roman"/>
                <w:color w:val="000000"/>
                <w:sz w:val="20"/>
                <w:szCs w:val="20"/>
                <w:lang w:eastAsia="en-GB"/>
              </w:rPr>
              <w:t>7</w:t>
            </w:r>
            <w:r w:rsidRPr="009640EE">
              <w:rPr>
                <w:rFonts w:ascii="Calibri" w:eastAsia="Times New Roman" w:hAnsi="Calibri" w:cs="Times New Roman"/>
                <w:color w:val="000000"/>
                <w:sz w:val="20"/>
                <w:szCs w:val="20"/>
                <w:lang w:eastAsia="en-GB"/>
              </w:rPr>
              <w:t>%</w:t>
            </w:r>
          </w:p>
        </w:tc>
        <w:tc>
          <w:tcPr>
            <w:tcW w:w="0" w:type="auto"/>
            <w:tcBorders>
              <w:top w:val="nil"/>
              <w:left w:val="nil"/>
              <w:bottom w:val="single" w:sz="8" w:space="0" w:color="9BBB59"/>
              <w:right w:val="nil"/>
            </w:tcBorders>
            <w:shd w:val="clear" w:color="000000" w:fill="BFBFBF"/>
            <w:noWrap/>
            <w:vAlign w:val="center"/>
            <w:hideMark/>
          </w:tcPr>
          <w:p w:rsidR="009640EE" w:rsidRPr="009640EE" w:rsidRDefault="009640EE" w:rsidP="0039703A">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3.</w:t>
            </w:r>
            <w:r w:rsidR="0039703A">
              <w:rPr>
                <w:rFonts w:ascii="Calibri" w:eastAsia="Times New Roman" w:hAnsi="Calibri" w:cs="Times New Roman"/>
                <w:color w:val="000000"/>
                <w:sz w:val="20"/>
                <w:szCs w:val="20"/>
                <w:lang w:eastAsia="en-GB"/>
              </w:rPr>
              <w:t>4</w:t>
            </w:r>
            <w:r w:rsidRPr="009640EE">
              <w:rPr>
                <w:rFonts w:ascii="Calibri" w:eastAsia="Times New Roman" w:hAnsi="Calibri" w:cs="Times New Roman"/>
                <w:color w:val="000000"/>
                <w:sz w:val="20"/>
                <w:szCs w:val="20"/>
                <w:lang w:eastAsia="en-GB"/>
              </w:rPr>
              <w:t>%</w:t>
            </w:r>
          </w:p>
        </w:tc>
        <w:tc>
          <w:tcPr>
            <w:tcW w:w="0" w:type="auto"/>
            <w:tcBorders>
              <w:top w:val="nil"/>
              <w:left w:val="nil"/>
              <w:bottom w:val="single" w:sz="8" w:space="0" w:color="9BBB59"/>
              <w:right w:val="single" w:sz="8" w:space="0" w:color="9BBB59"/>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719" w:type="dxa"/>
            <w:tcBorders>
              <w:top w:val="nil"/>
              <w:left w:val="nil"/>
              <w:bottom w:val="single" w:sz="8" w:space="0" w:color="9BBB59"/>
              <w:right w:val="single" w:sz="8" w:space="0" w:color="9BBB59"/>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r>
    </w:tbl>
    <w:p w:rsidR="009640EE" w:rsidRPr="009640EE" w:rsidRDefault="009640EE" w:rsidP="009640EE">
      <w:pPr>
        <w:spacing w:after="0" w:line="240" w:lineRule="auto"/>
      </w:pPr>
    </w:p>
    <w:p w:rsidR="009640EE" w:rsidRPr="009640EE" w:rsidRDefault="009640EE" w:rsidP="009640EE">
      <w:pPr>
        <w:spacing w:after="0" w:line="240" w:lineRule="auto"/>
      </w:pPr>
      <w:r w:rsidRPr="009640EE">
        <w:t>Achievement gaps by gender for both overall and timely achievement for LU Derby are minimal and have narrowed from the previous year</w:t>
      </w:r>
    </w:p>
    <w:p w:rsidR="009640EE" w:rsidRPr="009640EE" w:rsidRDefault="009640EE" w:rsidP="009640EE">
      <w:pPr>
        <w:spacing w:after="0" w:line="240" w:lineRule="auto"/>
      </w:pPr>
    </w:p>
    <w:p w:rsidR="009640EE" w:rsidRPr="009640EE" w:rsidRDefault="009640EE" w:rsidP="009640EE">
      <w:pPr>
        <w:spacing w:after="0" w:line="240" w:lineRule="auto"/>
        <w:rPr>
          <w:b/>
        </w:rPr>
      </w:pPr>
      <w:r w:rsidRPr="009640EE">
        <w:rPr>
          <w:b/>
        </w:rPr>
        <w:t>Ethnicity – Overall achievement by Ethnicity</w:t>
      </w:r>
    </w:p>
    <w:tbl>
      <w:tblPr>
        <w:tblW w:w="9033" w:type="dxa"/>
        <w:tblInd w:w="108" w:type="dxa"/>
        <w:tblLook w:val="04A0" w:firstRow="1" w:lastRow="0" w:firstColumn="1" w:lastColumn="0" w:noHBand="0" w:noVBand="1"/>
      </w:tblPr>
      <w:tblGrid>
        <w:gridCol w:w="3272"/>
        <w:gridCol w:w="785"/>
        <w:gridCol w:w="814"/>
        <w:gridCol w:w="785"/>
        <w:gridCol w:w="805"/>
        <w:gridCol w:w="969"/>
        <w:gridCol w:w="832"/>
        <w:gridCol w:w="892"/>
      </w:tblGrid>
      <w:tr w:rsidR="009640EE" w:rsidRPr="009640EE" w:rsidTr="006F0325">
        <w:trPr>
          <w:trHeight w:val="300"/>
        </w:trPr>
        <w:tc>
          <w:tcPr>
            <w:tcW w:w="0" w:type="auto"/>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 </w:t>
            </w:r>
          </w:p>
        </w:tc>
        <w:tc>
          <w:tcPr>
            <w:tcW w:w="1583" w:type="dxa"/>
            <w:gridSpan w:val="2"/>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2015/16</w:t>
            </w:r>
          </w:p>
        </w:tc>
        <w:tc>
          <w:tcPr>
            <w:tcW w:w="1573" w:type="dxa"/>
            <w:gridSpan w:val="2"/>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2016/17</w:t>
            </w:r>
          </w:p>
        </w:tc>
        <w:tc>
          <w:tcPr>
            <w:tcW w:w="969" w:type="dxa"/>
            <w:vMerge w:val="restart"/>
            <w:tcBorders>
              <w:top w:val="nil"/>
              <w:left w:val="nil"/>
              <w:bottom w:val="single" w:sz="8" w:space="0" w:color="9BBB59"/>
              <w:right w:val="nil"/>
            </w:tcBorders>
            <w:shd w:val="clear" w:color="000000" w:fill="BFBFBF"/>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2016/17 Provider Profile Average</w:t>
            </w:r>
          </w:p>
        </w:tc>
        <w:tc>
          <w:tcPr>
            <w:tcW w:w="1724" w:type="dxa"/>
            <w:gridSpan w:val="2"/>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2017/18</w:t>
            </w:r>
          </w:p>
        </w:tc>
      </w:tr>
      <w:tr w:rsidR="009640EE" w:rsidRPr="009640EE" w:rsidTr="006F0325">
        <w:trPr>
          <w:trHeight w:val="315"/>
        </w:trPr>
        <w:tc>
          <w:tcPr>
            <w:tcW w:w="0" w:type="auto"/>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 </w:t>
            </w:r>
          </w:p>
        </w:tc>
        <w:tc>
          <w:tcPr>
            <w:tcW w:w="0" w:type="auto"/>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Cohort</w:t>
            </w:r>
          </w:p>
        </w:tc>
        <w:tc>
          <w:tcPr>
            <w:tcW w:w="814" w:type="dxa"/>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Ach</w:t>
            </w:r>
          </w:p>
        </w:tc>
        <w:tc>
          <w:tcPr>
            <w:tcW w:w="0" w:type="auto"/>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Cohort</w:t>
            </w:r>
          </w:p>
        </w:tc>
        <w:tc>
          <w:tcPr>
            <w:tcW w:w="805" w:type="dxa"/>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Ach</w:t>
            </w:r>
          </w:p>
        </w:tc>
        <w:tc>
          <w:tcPr>
            <w:tcW w:w="969" w:type="dxa"/>
            <w:vMerge/>
            <w:tcBorders>
              <w:top w:val="nil"/>
              <w:left w:val="nil"/>
              <w:bottom w:val="single" w:sz="8" w:space="0" w:color="9BBB59"/>
              <w:right w:val="nil"/>
            </w:tcBorders>
            <w:vAlign w:val="center"/>
            <w:hideMark/>
          </w:tcPr>
          <w:p w:rsidR="009640EE" w:rsidRPr="009640EE" w:rsidRDefault="009640EE" w:rsidP="009640EE">
            <w:pPr>
              <w:spacing w:after="0" w:line="240" w:lineRule="auto"/>
              <w:rPr>
                <w:rFonts w:ascii="Calibri" w:eastAsia="Times New Roman" w:hAnsi="Calibri" w:cs="Times New Roman"/>
                <w:b/>
                <w:bCs/>
                <w:sz w:val="20"/>
                <w:szCs w:val="20"/>
                <w:lang w:eastAsia="en-GB"/>
              </w:rPr>
            </w:pPr>
          </w:p>
        </w:tc>
        <w:tc>
          <w:tcPr>
            <w:tcW w:w="832" w:type="dxa"/>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Cohort</w:t>
            </w:r>
          </w:p>
        </w:tc>
        <w:tc>
          <w:tcPr>
            <w:tcW w:w="892" w:type="dxa"/>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Ach</w:t>
            </w:r>
          </w:p>
        </w:tc>
      </w:tr>
      <w:tr w:rsidR="009640EE" w:rsidRPr="009640EE" w:rsidTr="006F0325">
        <w:trPr>
          <w:trHeight w:val="315"/>
        </w:trPr>
        <w:tc>
          <w:tcPr>
            <w:tcW w:w="0" w:type="auto"/>
            <w:tcBorders>
              <w:top w:val="single" w:sz="8" w:space="0" w:color="9BBB59"/>
              <w:left w:val="single" w:sz="8" w:space="0" w:color="9BBB59"/>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Asian/Asian British</w:t>
            </w:r>
          </w:p>
        </w:tc>
        <w:tc>
          <w:tcPr>
            <w:tcW w:w="0" w:type="auto"/>
            <w:tcBorders>
              <w:top w:val="single" w:sz="8" w:space="0" w:color="9BBB59"/>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56</w:t>
            </w:r>
          </w:p>
        </w:tc>
        <w:tc>
          <w:tcPr>
            <w:tcW w:w="814" w:type="dxa"/>
            <w:tcBorders>
              <w:top w:val="single" w:sz="8" w:space="0" w:color="9BBB59"/>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64.3%</w:t>
            </w:r>
          </w:p>
        </w:tc>
        <w:tc>
          <w:tcPr>
            <w:tcW w:w="0" w:type="auto"/>
            <w:tcBorders>
              <w:top w:val="single" w:sz="8" w:space="0" w:color="9BBB59"/>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32</w:t>
            </w:r>
          </w:p>
        </w:tc>
        <w:tc>
          <w:tcPr>
            <w:tcW w:w="805" w:type="dxa"/>
            <w:tcBorders>
              <w:top w:val="single" w:sz="8" w:space="0" w:color="9BBB59"/>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78.1%</w:t>
            </w:r>
          </w:p>
        </w:tc>
        <w:tc>
          <w:tcPr>
            <w:tcW w:w="969" w:type="dxa"/>
            <w:tcBorders>
              <w:top w:val="nil"/>
              <w:left w:val="nil"/>
              <w:bottom w:val="single" w:sz="8" w:space="0" w:color="9BBB59"/>
              <w:right w:val="single" w:sz="8" w:space="0" w:color="9BBB59"/>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71.7%</w:t>
            </w:r>
          </w:p>
        </w:tc>
        <w:tc>
          <w:tcPr>
            <w:tcW w:w="832" w:type="dxa"/>
            <w:tcBorders>
              <w:top w:val="single" w:sz="8" w:space="0" w:color="9BBB59"/>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41</w:t>
            </w:r>
          </w:p>
        </w:tc>
        <w:tc>
          <w:tcPr>
            <w:tcW w:w="892" w:type="dxa"/>
            <w:tcBorders>
              <w:top w:val="single" w:sz="8" w:space="0" w:color="9BBB59"/>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78.1%</w:t>
            </w:r>
          </w:p>
        </w:tc>
      </w:tr>
      <w:tr w:rsidR="009640EE" w:rsidRPr="009640EE" w:rsidTr="006F0325">
        <w:trPr>
          <w:trHeight w:val="315"/>
        </w:trPr>
        <w:tc>
          <w:tcPr>
            <w:tcW w:w="0" w:type="auto"/>
            <w:tcBorders>
              <w:top w:val="nil"/>
              <w:left w:val="single" w:sz="8" w:space="0" w:color="9BBB59"/>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Black/African/Caribbean/Black British</w:t>
            </w:r>
          </w:p>
        </w:tc>
        <w:tc>
          <w:tcPr>
            <w:tcW w:w="0" w:type="auto"/>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23</w:t>
            </w:r>
          </w:p>
        </w:tc>
        <w:tc>
          <w:tcPr>
            <w:tcW w:w="814" w:type="dxa"/>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69.9%</w:t>
            </w:r>
          </w:p>
        </w:tc>
        <w:tc>
          <w:tcPr>
            <w:tcW w:w="0" w:type="auto"/>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16</w:t>
            </w:r>
          </w:p>
        </w:tc>
        <w:tc>
          <w:tcPr>
            <w:tcW w:w="805" w:type="dxa"/>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75.0%</w:t>
            </w:r>
          </w:p>
        </w:tc>
        <w:tc>
          <w:tcPr>
            <w:tcW w:w="969" w:type="dxa"/>
            <w:tcBorders>
              <w:top w:val="nil"/>
              <w:left w:val="nil"/>
              <w:bottom w:val="single" w:sz="8" w:space="0" w:color="9BBB59"/>
              <w:right w:val="single" w:sz="8" w:space="0" w:color="9BBB59"/>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64.8%</w:t>
            </w:r>
          </w:p>
        </w:tc>
        <w:tc>
          <w:tcPr>
            <w:tcW w:w="832" w:type="dxa"/>
            <w:tcBorders>
              <w:top w:val="nil"/>
              <w:left w:val="nil"/>
              <w:bottom w:val="single" w:sz="8" w:space="0" w:color="9BBB59"/>
              <w:right w:val="single" w:sz="8" w:space="0" w:color="9BBB59"/>
            </w:tcBorders>
            <w:shd w:val="clear" w:color="auto" w:fill="auto"/>
            <w:noWrap/>
            <w:vAlign w:val="center"/>
            <w:hideMark/>
          </w:tcPr>
          <w:p w:rsidR="009640EE" w:rsidRPr="009640EE" w:rsidRDefault="0039703A" w:rsidP="009640EE">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37</w:t>
            </w:r>
          </w:p>
        </w:tc>
        <w:tc>
          <w:tcPr>
            <w:tcW w:w="892" w:type="dxa"/>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39703A">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73.</w:t>
            </w:r>
            <w:r w:rsidR="0039703A">
              <w:rPr>
                <w:rFonts w:ascii="Calibri" w:eastAsia="Times New Roman" w:hAnsi="Calibri" w:cs="Times New Roman"/>
                <w:color w:val="000000"/>
                <w:sz w:val="20"/>
                <w:szCs w:val="20"/>
                <w:lang w:eastAsia="en-GB"/>
              </w:rPr>
              <w:t>0</w:t>
            </w:r>
            <w:r w:rsidRPr="009640EE">
              <w:rPr>
                <w:rFonts w:ascii="Calibri" w:eastAsia="Times New Roman" w:hAnsi="Calibri" w:cs="Times New Roman"/>
                <w:color w:val="000000"/>
                <w:sz w:val="20"/>
                <w:szCs w:val="20"/>
                <w:lang w:eastAsia="en-GB"/>
              </w:rPr>
              <w:t>%</w:t>
            </w:r>
          </w:p>
        </w:tc>
      </w:tr>
      <w:tr w:rsidR="009640EE" w:rsidRPr="009640EE" w:rsidTr="006F0325">
        <w:trPr>
          <w:trHeight w:val="315"/>
        </w:trPr>
        <w:tc>
          <w:tcPr>
            <w:tcW w:w="0" w:type="auto"/>
            <w:tcBorders>
              <w:top w:val="nil"/>
              <w:left w:val="single" w:sz="8" w:space="0" w:color="9BBB59"/>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Mixed/Multiple Ethnic Groups</w:t>
            </w:r>
          </w:p>
        </w:tc>
        <w:tc>
          <w:tcPr>
            <w:tcW w:w="0" w:type="auto"/>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38</w:t>
            </w:r>
          </w:p>
        </w:tc>
        <w:tc>
          <w:tcPr>
            <w:tcW w:w="814" w:type="dxa"/>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78.9%</w:t>
            </w:r>
          </w:p>
        </w:tc>
        <w:tc>
          <w:tcPr>
            <w:tcW w:w="0" w:type="auto"/>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28</w:t>
            </w:r>
          </w:p>
        </w:tc>
        <w:tc>
          <w:tcPr>
            <w:tcW w:w="805" w:type="dxa"/>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67.9%</w:t>
            </w:r>
          </w:p>
        </w:tc>
        <w:tc>
          <w:tcPr>
            <w:tcW w:w="969" w:type="dxa"/>
            <w:tcBorders>
              <w:top w:val="nil"/>
              <w:left w:val="nil"/>
              <w:bottom w:val="single" w:sz="8" w:space="0" w:color="9BBB59"/>
              <w:right w:val="single" w:sz="8" w:space="0" w:color="9BBB59"/>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65.3%</w:t>
            </w:r>
          </w:p>
        </w:tc>
        <w:tc>
          <w:tcPr>
            <w:tcW w:w="832" w:type="dxa"/>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33</w:t>
            </w:r>
          </w:p>
        </w:tc>
        <w:tc>
          <w:tcPr>
            <w:tcW w:w="892" w:type="dxa"/>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66.7%</w:t>
            </w:r>
          </w:p>
        </w:tc>
      </w:tr>
      <w:tr w:rsidR="009640EE" w:rsidRPr="009640EE" w:rsidTr="006F0325">
        <w:trPr>
          <w:trHeight w:val="345"/>
        </w:trPr>
        <w:tc>
          <w:tcPr>
            <w:tcW w:w="0" w:type="auto"/>
            <w:tcBorders>
              <w:top w:val="nil"/>
              <w:left w:val="single" w:sz="8" w:space="0" w:color="9BBB59"/>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Other Ethnic Group</w:t>
            </w:r>
          </w:p>
        </w:tc>
        <w:tc>
          <w:tcPr>
            <w:tcW w:w="0" w:type="auto"/>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w:t>
            </w:r>
          </w:p>
        </w:tc>
        <w:tc>
          <w:tcPr>
            <w:tcW w:w="814" w:type="dxa"/>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71.4%</w:t>
            </w:r>
          </w:p>
        </w:tc>
        <w:tc>
          <w:tcPr>
            <w:tcW w:w="0" w:type="auto"/>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3</w:t>
            </w:r>
          </w:p>
        </w:tc>
        <w:tc>
          <w:tcPr>
            <w:tcW w:w="805" w:type="dxa"/>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66.7%</w:t>
            </w:r>
          </w:p>
        </w:tc>
        <w:tc>
          <w:tcPr>
            <w:tcW w:w="969" w:type="dxa"/>
            <w:tcBorders>
              <w:top w:val="nil"/>
              <w:left w:val="nil"/>
              <w:bottom w:val="single" w:sz="8" w:space="0" w:color="9BBB59"/>
              <w:right w:val="single" w:sz="8" w:space="0" w:color="9BBB59"/>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64.5%</w:t>
            </w:r>
          </w:p>
        </w:tc>
        <w:tc>
          <w:tcPr>
            <w:tcW w:w="832" w:type="dxa"/>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5</w:t>
            </w:r>
          </w:p>
        </w:tc>
        <w:tc>
          <w:tcPr>
            <w:tcW w:w="892" w:type="dxa"/>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40.0%</w:t>
            </w:r>
          </w:p>
        </w:tc>
      </w:tr>
      <w:tr w:rsidR="009640EE" w:rsidRPr="009640EE" w:rsidTr="006F0325">
        <w:trPr>
          <w:trHeight w:val="315"/>
        </w:trPr>
        <w:tc>
          <w:tcPr>
            <w:tcW w:w="0" w:type="auto"/>
            <w:tcBorders>
              <w:top w:val="nil"/>
              <w:left w:val="single" w:sz="8" w:space="0" w:color="9BBB59"/>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Unknown</w:t>
            </w:r>
          </w:p>
        </w:tc>
        <w:tc>
          <w:tcPr>
            <w:tcW w:w="0" w:type="auto"/>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0</w:t>
            </w:r>
          </w:p>
        </w:tc>
        <w:tc>
          <w:tcPr>
            <w:tcW w:w="814" w:type="dxa"/>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0.0%</w:t>
            </w:r>
          </w:p>
        </w:tc>
        <w:tc>
          <w:tcPr>
            <w:tcW w:w="0" w:type="auto"/>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2</w:t>
            </w:r>
          </w:p>
        </w:tc>
        <w:tc>
          <w:tcPr>
            <w:tcW w:w="805" w:type="dxa"/>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0.0%</w:t>
            </w:r>
          </w:p>
        </w:tc>
        <w:tc>
          <w:tcPr>
            <w:tcW w:w="969" w:type="dxa"/>
            <w:tcBorders>
              <w:top w:val="nil"/>
              <w:left w:val="nil"/>
              <w:bottom w:val="single" w:sz="8" w:space="0" w:color="9BBB59"/>
              <w:right w:val="single" w:sz="8" w:space="0" w:color="9BBB59"/>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54.8%</w:t>
            </w:r>
          </w:p>
        </w:tc>
        <w:tc>
          <w:tcPr>
            <w:tcW w:w="832" w:type="dxa"/>
            <w:tcBorders>
              <w:top w:val="nil"/>
              <w:left w:val="nil"/>
              <w:bottom w:val="single" w:sz="8" w:space="0" w:color="9BBB59"/>
              <w:right w:val="single" w:sz="8" w:space="0" w:color="9BBB59"/>
            </w:tcBorders>
            <w:shd w:val="clear" w:color="auto" w:fill="auto"/>
            <w:noWrap/>
            <w:vAlign w:val="center"/>
            <w:hideMark/>
          </w:tcPr>
          <w:p w:rsidR="009640EE" w:rsidRPr="009640EE" w:rsidRDefault="0031166F" w:rsidP="009640EE">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2</w:t>
            </w:r>
            <w:r w:rsidR="009640EE" w:rsidRPr="009640EE">
              <w:rPr>
                <w:rFonts w:ascii="Calibri" w:eastAsia="Times New Roman" w:hAnsi="Calibri" w:cs="Times New Roman"/>
                <w:color w:val="000000"/>
                <w:sz w:val="20"/>
                <w:szCs w:val="20"/>
                <w:lang w:eastAsia="en-GB"/>
              </w:rPr>
              <w:t>4</w:t>
            </w:r>
          </w:p>
        </w:tc>
        <w:tc>
          <w:tcPr>
            <w:tcW w:w="892" w:type="dxa"/>
            <w:tcBorders>
              <w:top w:val="nil"/>
              <w:left w:val="nil"/>
              <w:bottom w:val="single" w:sz="8" w:space="0" w:color="9BBB59"/>
              <w:right w:val="single" w:sz="8" w:space="0" w:color="9BBB59"/>
            </w:tcBorders>
            <w:shd w:val="clear" w:color="auto" w:fill="auto"/>
            <w:noWrap/>
            <w:vAlign w:val="center"/>
            <w:hideMark/>
          </w:tcPr>
          <w:p w:rsidR="009640EE" w:rsidRPr="009640EE" w:rsidRDefault="0031166F" w:rsidP="009640EE">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91.7</w:t>
            </w:r>
            <w:r w:rsidR="009640EE" w:rsidRPr="009640EE">
              <w:rPr>
                <w:rFonts w:ascii="Calibri" w:eastAsia="Times New Roman" w:hAnsi="Calibri" w:cs="Times New Roman"/>
                <w:color w:val="000000"/>
                <w:sz w:val="20"/>
                <w:szCs w:val="20"/>
                <w:lang w:eastAsia="en-GB"/>
              </w:rPr>
              <w:t>%</w:t>
            </w:r>
          </w:p>
        </w:tc>
      </w:tr>
      <w:tr w:rsidR="009640EE" w:rsidRPr="009640EE" w:rsidTr="006F0325">
        <w:trPr>
          <w:trHeight w:val="315"/>
        </w:trPr>
        <w:tc>
          <w:tcPr>
            <w:tcW w:w="0" w:type="auto"/>
            <w:tcBorders>
              <w:top w:val="nil"/>
              <w:left w:val="single" w:sz="8" w:space="0" w:color="9BBB59"/>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0" w:type="auto"/>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814" w:type="dxa"/>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0" w:type="auto"/>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805" w:type="dxa"/>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969" w:type="dxa"/>
            <w:tcBorders>
              <w:top w:val="nil"/>
              <w:left w:val="nil"/>
              <w:bottom w:val="single" w:sz="8" w:space="0" w:color="9BBB59"/>
              <w:right w:val="single" w:sz="8" w:space="0" w:color="9BBB59"/>
            </w:tcBorders>
            <w:shd w:val="clear" w:color="000000" w:fill="BFBFBF"/>
            <w:noWrap/>
            <w:vAlign w:val="center"/>
            <w:hideMark/>
          </w:tcPr>
          <w:p w:rsidR="009640EE" w:rsidRPr="009640EE" w:rsidRDefault="009640EE" w:rsidP="009640EE">
            <w:pPr>
              <w:spacing w:after="0" w:line="240" w:lineRule="auto"/>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 </w:t>
            </w:r>
          </w:p>
        </w:tc>
        <w:tc>
          <w:tcPr>
            <w:tcW w:w="832" w:type="dxa"/>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892" w:type="dxa"/>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r>
      <w:tr w:rsidR="009640EE" w:rsidRPr="009640EE" w:rsidTr="006F0325">
        <w:trPr>
          <w:trHeight w:val="315"/>
        </w:trPr>
        <w:tc>
          <w:tcPr>
            <w:tcW w:w="0" w:type="auto"/>
            <w:tcBorders>
              <w:top w:val="nil"/>
              <w:left w:val="single" w:sz="8" w:space="0" w:color="9BBB59"/>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Other Ethnic Groups</w:t>
            </w:r>
          </w:p>
        </w:tc>
        <w:tc>
          <w:tcPr>
            <w:tcW w:w="0" w:type="auto"/>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124</w:t>
            </w:r>
          </w:p>
        </w:tc>
        <w:tc>
          <w:tcPr>
            <w:tcW w:w="814" w:type="dxa"/>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70.2%</w:t>
            </w:r>
          </w:p>
        </w:tc>
        <w:tc>
          <w:tcPr>
            <w:tcW w:w="0" w:type="auto"/>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79</w:t>
            </w:r>
          </w:p>
        </w:tc>
        <w:tc>
          <w:tcPr>
            <w:tcW w:w="805" w:type="dxa"/>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73.4%</w:t>
            </w:r>
          </w:p>
        </w:tc>
        <w:tc>
          <w:tcPr>
            <w:tcW w:w="969" w:type="dxa"/>
            <w:tcBorders>
              <w:top w:val="nil"/>
              <w:left w:val="nil"/>
              <w:bottom w:val="single" w:sz="8" w:space="0" w:color="9BBB59"/>
              <w:right w:val="single" w:sz="8" w:space="0" w:color="9BBB59"/>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67.7%</w:t>
            </w:r>
          </w:p>
        </w:tc>
        <w:tc>
          <w:tcPr>
            <w:tcW w:w="832" w:type="dxa"/>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31166F">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11</w:t>
            </w:r>
            <w:r w:rsidR="0031166F">
              <w:rPr>
                <w:rFonts w:ascii="Calibri" w:eastAsia="Times New Roman" w:hAnsi="Calibri" w:cs="Times New Roman"/>
                <w:color w:val="000000"/>
                <w:sz w:val="20"/>
                <w:szCs w:val="20"/>
                <w:lang w:eastAsia="en-GB"/>
              </w:rPr>
              <w:t>6</w:t>
            </w:r>
          </w:p>
        </w:tc>
        <w:tc>
          <w:tcPr>
            <w:tcW w:w="892" w:type="dxa"/>
            <w:tcBorders>
              <w:top w:val="nil"/>
              <w:left w:val="nil"/>
              <w:bottom w:val="single" w:sz="8" w:space="0" w:color="9BBB59"/>
              <w:right w:val="single" w:sz="8" w:space="0" w:color="9BBB59"/>
            </w:tcBorders>
            <w:shd w:val="clear" w:color="auto" w:fill="auto"/>
            <w:noWrap/>
            <w:vAlign w:val="center"/>
            <w:hideMark/>
          </w:tcPr>
          <w:p w:rsidR="009640EE" w:rsidRPr="009640EE" w:rsidRDefault="0031166F" w:rsidP="009640EE">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71.6</w:t>
            </w:r>
            <w:r w:rsidR="009640EE" w:rsidRPr="009640EE">
              <w:rPr>
                <w:rFonts w:ascii="Calibri" w:eastAsia="Times New Roman" w:hAnsi="Calibri" w:cs="Times New Roman"/>
                <w:color w:val="000000"/>
                <w:sz w:val="20"/>
                <w:szCs w:val="20"/>
                <w:lang w:eastAsia="en-GB"/>
              </w:rPr>
              <w:t>%</w:t>
            </w:r>
          </w:p>
        </w:tc>
      </w:tr>
      <w:tr w:rsidR="009640EE" w:rsidRPr="009640EE" w:rsidTr="006F0325">
        <w:trPr>
          <w:trHeight w:val="315"/>
        </w:trPr>
        <w:tc>
          <w:tcPr>
            <w:tcW w:w="0" w:type="auto"/>
            <w:tcBorders>
              <w:top w:val="nil"/>
              <w:left w:val="single" w:sz="8" w:space="0" w:color="9BBB59"/>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White</w:t>
            </w:r>
          </w:p>
        </w:tc>
        <w:tc>
          <w:tcPr>
            <w:tcW w:w="0" w:type="auto"/>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1,877</w:t>
            </w:r>
          </w:p>
        </w:tc>
        <w:tc>
          <w:tcPr>
            <w:tcW w:w="814" w:type="dxa"/>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72.6%</w:t>
            </w:r>
          </w:p>
        </w:tc>
        <w:tc>
          <w:tcPr>
            <w:tcW w:w="0" w:type="auto"/>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1,517</w:t>
            </w:r>
          </w:p>
        </w:tc>
        <w:tc>
          <w:tcPr>
            <w:tcW w:w="805" w:type="dxa"/>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70.6%</w:t>
            </w:r>
          </w:p>
        </w:tc>
        <w:tc>
          <w:tcPr>
            <w:tcW w:w="969" w:type="dxa"/>
            <w:tcBorders>
              <w:top w:val="nil"/>
              <w:left w:val="nil"/>
              <w:bottom w:val="single" w:sz="8" w:space="0" w:color="9BBB59"/>
              <w:right w:val="single" w:sz="8" w:space="0" w:color="9BBB59"/>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69.4%</w:t>
            </w:r>
          </w:p>
        </w:tc>
        <w:tc>
          <w:tcPr>
            <w:tcW w:w="832" w:type="dxa"/>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31166F">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1,8</w:t>
            </w:r>
            <w:r w:rsidR="0031166F">
              <w:rPr>
                <w:rFonts w:ascii="Calibri" w:eastAsia="Times New Roman" w:hAnsi="Calibri" w:cs="Times New Roman"/>
                <w:color w:val="000000"/>
                <w:sz w:val="20"/>
                <w:szCs w:val="20"/>
                <w:lang w:eastAsia="en-GB"/>
              </w:rPr>
              <w:t>0</w:t>
            </w:r>
            <w:r w:rsidRPr="009640EE">
              <w:rPr>
                <w:rFonts w:ascii="Calibri" w:eastAsia="Times New Roman" w:hAnsi="Calibri" w:cs="Times New Roman"/>
                <w:color w:val="000000"/>
                <w:sz w:val="20"/>
                <w:szCs w:val="20"/>
                <w:lang w:eastAsia="en-GB"/>
              </w:rPr>
              <w:t>7</w:t>
            </w:r>
          </w:p>
        </w:tc>
        <w:tc>
          <w:tcPr>
            <w:tcW w:w="892" w:type="dxa"/>
            <w:tcBorders>
              <w:top w:val="nil"/>
              <w:left w:val="nil"/>
              <w:bottom w:val="single" w:sz="8" w:space="0" w:color="9BBB59"/>
              <w:right w:val="single" w:sz="8" w:space="0" w:color="9BBB59"/>
            </w:tcBorders>
            <w:shd w:val="clear" w:color="auto" w:fill="auto"/>
            <w:noWrap/>
            <w:vAlign w:val="center"/>
            <w:hideMark/>
          </w:tcPr>
          <w:p w:rsidR="009640EE" w:rsidRPr="009640EE" w:rsidRDefault="0031166F" w:rsidP="009640EE">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69.8</w:t>
            </w:r>
            <w:r w:rsidR="009640EE" w:rsidRPr="009640EE">
              <w:rPr>
                <w:rFonts w:ascii="Calibri" w:eastAsia="Times New Roman" w:hAnsi="Calibri" w:cs="Times New Roman"/>
                <w:color w:val="000000"/>
                <w:sz w:val="20"/>
                <w:szCs w:val="20"/>
                <w:lang w:eastAsia="en-GB"/>
              </w:rPr>
              <w:t>%</w:t>
            </w:r>
          </w:p>
        </w:tc>
      </w:tr>
      <w:tr w:rsidR="009640EE" w:rsidRPr="009640EE" w:rsidTr="006F0325">
        <w:trPr>
          <w:trHeight w:val="315"/>
        </w:trPr>
        <w:tc>
          <w:tcPr>
            <w:tcW w:w="0" w:type="auto"/>
            <w:tcBorders>
              <w:top w:val="nil"/>
              <w:left w:val="single" w:sz="8" w:space="0" w:color="9BBB59"/>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Achievement Gap</w:t>
            </w:r>
          </w:p>
        </w:tc>
        <w:tc>
          <w:tcPr>
            <w:tcW w:w="0" w:type="auto"/>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814" w:type="dxa"/>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2.4%</w:t>
            </w:r>
          </w:p>
        </w:tc>
        <w:tc>
          <w:tcPr>
            <w:tcW w:w="0" w:type="auto"/>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805" w:type="dxa"/>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2.8%</w:t>
            </w:r>
          </w:p>
        </w:tc>
        <w:tc>
          <w:tcPr>
            <w:tcW w:w="969" w:type="dxa"/>
            <w:tcBorders>
              <w:top w:val="nil"/>
              <w:left w:val="nil"/>
              <w:bottom w:val="single" w:sz="8" w:space="0" w:color="9BBB59"/>
              <w:right w:val="single" w:sz="8" w:space="0" w:color="9BBB59"/>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1.7%</w:t>
            </w:r>
          </w:p>
        </w:tc>
        <w:tc>
          <w:tcPr>
            <w:tcW w:w="832" w:type="dxa"/>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892" w:type="dxa"/>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31166F">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w:t>
            </w:r>
            <w:r w:rsidR="0031166F">
              <w:rPr>
                <w:rFonts w:ascii="Calibri" w:eastAsia="Times New Roman" w:hAnsi="Calibri" w:cs="Times New Roman"/>
                <w:color w:val="000000"/>
                <w:sz w:val="20"/>
                <w:szCs w:val="20"/>
                <w:lang w:eastAsia="en-GB"/>
              </w:rPr>
              <w:t>8</w:t>
            </w:r>
            <w:r w:rsidRPr="009640EE">
              <w:rPr>
                <w:rFonts w:ascii="Calibri" w:eastAsia="Times New Roman" w:hAnsi="Calibri" w:cs="Times New Roman"/>
                <w:color w:val="000000"/>
                <w:sz w:val="20"/>
                <w:szCs w:val="20"/>
                <w:lang w:eastAsia="en-GB"/>
              </w:rPr>
              <w:t>%</w:t>
            </w:r>
          </w:p>
        </w:tc>
      </w:tr>
    </w:tbl>
    <w:p w:rsidR="009640EE" w:rsidRPr="009640EE" w:rsidRDefault="009640EE" w:rsidP="009640EE">
      <w:pPr>
        <w:spacing w:after="0" w:line="240" w:lineRule="auto"/>
        <w:rPr>
          <w:b/>
        </w:rPr>
      </w:pPr>
    </w:p>
    <w:p w:rsidR="009640EE" w:rsidRDefault="009640EE" w:rsidP="009640EE">
      <w:pPr>
        <w:spacing w:after="0" w:line="240" w:lineRule="auto"/>
        <w:rPr>
          <w:b/>
        </w:rPr>
      </w:pPr>
    </w:p>
    <w:p w:rsidR="009640EE" w:rsidRPr="0089201D" w:rsidRDefault="00E50BAC" w:rsidP="009640EE">
      <w:pPr>
        <w:spacing w:after="0" w:line="240" w:lineRule="auto"/>
        <w:rPr>
          <w:b/>
        </w:rPr>
      </w:pPr>
      <w:r w:rsidRPr="009640EE">
        <w:rPr>
          <w:b/>
        </w:rPr>
        <w:t>Ethnicity -</w:t>
      </w:r>
      <w:r w:rsidR="009640EE" w:rsidRPr="009640EE">
        <w:rPr>
          <w:b/>
        </w:rPr>
        <w:t xml:space="preserve"> Timely achievement by Ethnicity</w:t>
      </w:r>
      <w:bookmarkStart w:id="0" w:name="_GoBack"/>
      <w:bookmarkEnd w:id="0"/>
    </w:p>
    <w:tbl>
      <w:tblPr>
        <w:tblW w:w="5000" w:type="pct"/>
        <w:tblLook w:val="04A0" w:firstRow="1" w:lastRow="0" w:firstColumn="1" w:lastColumn="0" w:noHBand="0" w:noVBand="1"/>
      </w:tblPr>
      <w:tblGrid>
        <w:gridCol w:w="3272"/>
        <w:gridCol w:w="805"/>
        <w:gridCol w:w="729"/>
        <w:gridCol w:w="807"/>
        <w:gridCol w:w="731"/>
        <w:gridCol w:w="946"/>
        <w:gridCol w:w="913"/>
        <w:gridCol w:w="823"/>
      </w:tblGrid>
      <w:tr w:rsidR="009640EE" w:rsidRPr="009640EE" w:rsidTr="009640EE">
        <w:trPr>
          <w:trHeight w:val="300"/>
        </w:trPr>
        <w:tc>
          <w:tcPr>
            <w:tcW w:w="1770" w:type="pct"/>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 </w:t>
            </w:r>
          </w:p>
        </w:tc>
        <w:tc>
          <w:tcPr>
            <w:tcW w:w="862" w:type="pct"/>
            <w:gridSpan w:val="2"/>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2015/16</w:t>
            </w:r>
          </w:p>
        </w:tc>
        <w:tc>
          <w:tcPr>
            <w:tcW w:w="863" w:type="pct"/>
            <w:gridSpan w:val="2"/>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2016/17</w:t>
            </w:r>
          </w:p>
        </w:tc>
        <w:tc>
          <w:tcPr>
            <w:tcW w:w="530" w:type="pct"/>
            <w:vMerge w:val="restart"/>
            <w:tcBorders>
              <w:top w:val="nil"/>
              <w:left w:val="nil"/>
              <w:bottom w:val="single" w:sz="8" w:space="0" w:color="9BBB59"/>
              <w:right w:val="nil"/>
            </w:tcBorders>
            <w:shd w:val="clear" w:color="000000" w:fill="BFBFBF"/>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2016/17 Provider Profile Average</w:t>
            </w:r>
          </w:p>
        </w:tc>
        <w:tc>
          <w:tcPr>
            <w:tcW w:w="974" w:type="pct"/>
            <w:gridSpan w:val="2"/>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2017/18</w:t>
            </w:r>
          </w:p>
        </w:tc>
      </w:tr>
      <w:tr w:rsidR="009640EE" w:rsidRPr="009640EE" w:rsidTr="009640EE">
        <w:trPr>
          <w:trHeight w:val="315"/>
        </w:trPr>
        <w:tc>
          <w:tcPr>
            <w:tcW w:w="1770" w:type="pct"/>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 </w:t>
            </w:r>
          </w:p>
        </w:tc>
        <w:tc>
          <w:tcPr>
            <w:tcW w:w="452" w:type="pct"/>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Cohort</w:t>
            </w:r>
          </w:p>
        </w:tc>
        <w:tc>
          <w:tcPr>
            <w:tcW w:w="410" w:type="pct"/>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Ach</w:t>
            </w:r>
          </w:p>
        </w:tc>
        <w:tc>
          <w:tcPr>
            <w:tcW w:w="453" w:type="pct"/>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Cohort</w:t>
            </w:r>
          </w:p>
        </w:tc>
        <w:tc>
          <w:tcPr>
            <w:tcW w:w="411" w:type="pct"/>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Ach</w:t>
            </w:r>
          </w:p>
        </w:tc>
        <w:tc>
          <w:tcPr>
            <w:tcW w:w="530" w:type="pct"/>
            <w:vMerge/>
            <w:tcBorders>
              <w:top w:val="nil"/>
              <w:left w:val="nil"/>
              <w:bottom w:val="single" w:sz="8" w:space="0" w:color="9BBB59"/>
              <w:right w:val="nil"/>
            </w:tcBorders>
            <w:vAlign w:val="center"/>
            <w:hideMark/>
          </w:tcPr>
          <w:p w:rsidR="009640EE" w:rsidRPr="009640EE" w:rsidRDefault="009640EE" w:rsidP="009640EE">
            <w:pPr>
              <w:spacing w:after="0" w:line="240" w:lineRule="auto"/>
              <w:rPr>
                <w:rFonts w:ascii="Calibri" w:eastAsia="Times New Roman" w:hAnsi="Calibri" w:cs="Times New Roman"/>
                <w:b/>
                <w:bCs/>
                <w:sz w:val="20"/>
                <w:szCs w:val="20"/>
                <w:lang w:eastAsia="en-GB"/>
              </w:rPr>
            </w:pPr>
          </w:p>
        </w:tc>
        <w:tc>
          <w:tcPr>
            <w:tcW w:w="512" w:type="pct"/>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Cohort</w:t>
            </w:r>
          </w:p>
        </w:tc>
        <w:tc>
          <w:tcPr>
            <w:tcW w:w="463" w:type="pct"/>
            <w:tcBorders>
              <w:top w:val="nil"/>
              <w:left w:val="nil"/>
              <w:bottom w:val="nil"/>
              <w:right w:val="nil"/>
            </w:tcBorders>
            <w:shd w:val="clear" w:color="auto" w:fill="C6D9F1" w:themeFill="text2" w:themeFillTint="33"/>
            <w:noWrap/>
            <w:vAlign w:val="center"/>
            <w:hideMark/>
          </w:tcPr>
          <w:p w:rsidR="009640EE" w:rsidRPr="009640EE" w:rsidRDefault="009640EE" w:rsidP="009640EE">
            <w:pPr>
              <w:spacing w:after="0" w:line="240" w:lineRule="auto"/>
              <w:jc w:val="center"/>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Ach</w:t>
            </w:r>
          </w:p>
        </w:tc>
      </w:tr>
      <w:tr w:rsidR="009640EE" w:rsidRPr="009640EE" w:rsidTr="009640EE">
        <w:trPr>
          <w:trHeight w:val="315"/>
        </w:trPr>
        <w:tc>
          <w:tcPr>
            <w:tcW w:w="1770" w:type="pct"/>
            <w:tcBorders>
              <w:top w:val="single" w:sz="8" w:space="0" w:color="9BBB59"/>
              <w:left w:val="single" w:sz="8" w:space="0" w:color="9BBB59"/>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Asian/Asian British</w:t>
            </w:r>
          </w:p>
        </w:tc>
        <w:tc>
          <w:tcPr>
            <w:tcW w:w="452" w:type="pct"/>
            <w:tcBorders>
              <w:top w:val="single" w:sz="8" w:space="0" w:color="9BBB59"/>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52</w:t>
            </w:r>
          </w:p>
        </w:tc>
        <w:tc>
          <w:tcPr>
            <w:tcW w:w="410" w:type="pct"/>
            <w:tcBorders>
              <w:top w:val="single" w:sz="8" w:space="0" w:color="9BBB59"/>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50.0%</w:t>
            </w:r>
          </w:p>
        </w:tc>
        <w:tc>
          <w:tcPr>
            <w:tcW w:w="453" w:type="pct"/>
            <w:tcBorders>
              <w:top w:val="single" w:sz="8" w:space="0" w:color="9BBB59"/>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32</w:t>
            </w:r>
          </w:p>
        </w:tc>
        <w:tc>
          <w:tcPr>
            <w:tcW w:w="411" w:type="pct"/>
            <w:tcBorders>
              <w:top w:val="single" w:sz="8" w:space="0" w:color="9BBB59"/>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71.9%</w:t>
            </w:r>
          </w:p>
        </w:tc>
        <w:tc>
          <w:tcPr>
            <w:tcW w:w="530" w:type="pct"/>
            <w:tcBorders>
              <w:top w:val="nil"/>
              <w:left w:val="nil"/>
              <w:bottom w:val="single" w:sz="8" w:space="0" w:color="9BBB59"/>
              <w:right w:val="single" w:sz="8" w:space="0" w:color="9BBB59"/>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62.0%</w:t>
            </w:r>
          </w:p>
        </w:tc>
        <w:tc>
          <w:tcPr>
            <w:tcW w:w="512" w:type="pct"/>
            <w:tcBorders>
              <w:top w:val="single" w:sz="8" w:space="0" w:color="9BBB59"/>
              <w:left w:val="nil"/>
              <w:bottom w:val="single" w:sz="8" w:space="0" w:color="9BBB59"/>
              <w:right w:val="single" w:sz="8" w:space="0" w:color="9BBB59"/>
            </w:tcBorders>
            <w:shd w:val="clear" w:color="auto" w:fill="auto"/>
            <w:noWrap/>
            <w:vAlign w:val="center"/>
            <w:hideMark/>
          </w:tcPr>
          <w:p w:rsidR="009640EE" w:rsidRPr="009640EE" w:rsidRDefault="009640EE" w:rsidP="0031166F">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4</w:t>
            </w:r>
            <w:r w:rsidR="0031166F">
              <w:rPr>
                <w:rFonts w:ascii="Calibri" w:eastAsia="Times New Roman" w:hAnsi="Calibri" w:cs="Times New Roman"/>
                <w:color w:val="000000"/>
                <w:sz w:val="20"/>
                <w:szCs w:val="20"/>
                <w:lang w:eastAsia="en-GB"/>
              </w:rPr>
              <w:t>2</w:t>
            </w:r>
          </w:p>
        </w:tc>
        <w:tc>
          <w:tcPr>
            <w:tcW w:w="463" w:type="pct"/>
            <w:tcBorders>
              <w:top w:val="single" w:sz="8" w:space="0" w:color="9BBB59"/>
              <w:left w:val="nil"/>
              <w:bottom w:val="single" w:sz="8" w:space="0" w:color="9BBB59"/>
              <w:right w:val="single" w:sz="8" w:space="0" w:color="9BBB59"/>
            </w:tcBorders>
            <w:shd w:val="clear" w:color="auto" w:fill="auto"/>
            <w:noWrap/>
            <w:vAlign w:val="center"/>
            <w:hideMark/>
          </w:tcPr>
          <w:p w:rsidR="009640EE" w:rsidRPr="009640EE" w:rsidRDefault="009640EE" w:rsidP="0031166F">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5</w:t>
            </w:r>
            <w:r w:rsidR="0031166F">
              <w:rPr>
                <w:rFonts w:ascii="Calibri" w:eastAsia="Times New Roman" w:hAnsi="Calibri" w:cs="Times New Roman"/>
                <w:color w:val="000000"/>
                <w:sz w:val="20"/>
                <w:szCs w:val="20"/>
                <w:lang w:eastAsia="en-GB"/>
              </w:rPr>
              <w:t>9.5</w:t>
            </w:r>
            <w:r w:rsidRPr="009640EE">
              <w:rPr>
                <w:rFonts w:ascii="Calibri" w:eastAsia="Times New Roman" w:hAnsi="Calibri" w:cs="Times New Roman"/>
                <w:color w:val="000000"/>
                <w:sz w:val="20"/>
                <w:szCs w:val="20"/>
                <w:lang w:eastAsia="en-GB"/>
              </w:rPr>
              <w:t>%</w:t>
            </w:r>
          </w:p>
        </w:tc>
      </w:tr>
      <w:tr w:rsidR="009640EE" w:rsidRPr="009640EE" w:rsidTr="009640EE">
        <w:trPr>
          <w:trHeight w:val="315"/>
        </w:trPr>
        <w:tc>
          <w:tcPr>
            <w:tcW w:w="1770" w:type="pct"/>
            <w:tcBorders>
              <w:top w:val="nil"/>
              <w:left w:val="single" w:sz="8" w:space="0" w:color="9BBB59"/>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Black/African/Caribbean/Black British</w:t>
            </w:r>
          </w:p>
        </w:tc>
        <w:tc>
          <w:tcPr>
            <w:tcW w:w="452"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19</w:t>
            </w:r>
          </w:p>
        </w:tc>
        <w:tc>
          <w:tcPr>
            <w:tcW w:w="410"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47.4%</w:t>
            </w:r>
          </w:p>
        </w:tc>
        <w:tc>
          <w:tcPr>
            <w:tcW w:w="453"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17</w:t>
            </w:r>
          </w:p>
        </w:tc>
        <w:tc>
          <w:tcPr>
            <w:tcW w:w="411"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58.8%</w:t>
            </w:r>
          </w:p>
        </w:tc>
        <w:tc>
          <w:tcPr>
            <w:tcW w:w="530" w:type="pct"/>
            <w:tcBorders>
              <w:top w:val="nil"/>
              <w:left w:val="nil"/>
              <w:bottom w:val="single" w:sz="8" w:space="0" w:color="9BBB59"/>
              <w:right w:val="single" w:sz="8" w:space="0" w:color="9BBB59"/>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51.2%</w:t>
            </w:r>
          </w:p>
        </w:tc>
        <w:tc>
          <w:tcPr>
            <w:tcW w:w="512" w:type="pct"/>
            <w:tcBorders>
              <w:top w:val="nil"/>
              <w:left w:val="nil"/>
              <w:bottom w:val="single" w:sz="8" w:space="0" w:color="9BBB59"/>
              <w:right w:val="single" w:sz="8" w:space="0" w:color="9BBB59"/>
            </w:tcBorders>
            <w:shd w:val="clear" w:color="auto" w:fill="auto"/>
            <w:noWrap/>
            <w:vAlign w:val="center"/>
            <w:hideMark/>
          </w:tcPr>
          <w:p w:rsidR="009640EE" w:rsidRPr="009640EE" w:rsidRDefault="0031166F" w:rsidP="009640EE">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36</w:t>
            </w:r>
          </w:p>
        </w:tc>
        <w:tc>
          <w:tcPr>
            <w:tcW w:w="463" w:type="pct"/>
            <w:tcBorders>
              <w:top w:val="nil"/>
              <w:left w:val="nil"/>
              <w:bottom w:val="single" w:sz="8" w:space="0" w:color="9BBB59"/>
              <w:right w:val="single" w:sz="8" w:space="0" w:color="9BBB59"/>
            </w:tcBorders>
            <w:shd w:val="clear" w:color="auto" w:fill="auto"/>
            <w:noWrap/>
            <w:vAlign w:val="center"/>
            <w:hideMark/>
          </w:tcPr>
          <w:p w:rsidR="009640EE" w:rsidRPr="009640EE" w:rsidRDefault="0031166F" w:rsidP="009640EE">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61</w:t>
            </w:r>
            <w:r w:rsidR="009640EE" w:rsidRPr="009640EE">
              <w:rPr>
                <w:rFonts w:ascii="Calibri" w:eastAsia="Times New Roman" w:hAnsi="Calibri" w:cs="Times New Roman"/>
                <w:color w:val="000000"/>
                <w:sz w:val="20"/>
                <w:szCs w:val="20"/>
                <w:lang w:eastAsia="en-GB"/>
              </w:rPr>
              <w:t>.1%</w:t>
            </w:r>
          </w:p>
        </w:tc>
      </w:tr>
      <w:tr w:rsidR="009640EE" w:rsidRPr="009640EE" w:rsidTr="009640EE">
        <w:trPr>
          <w:trHeight w:val="315"/>
        </w:trPr>
        <w:tc>
          <w:tcPr>
            <w:tcW w:w="1770" w:type="pct"/>
            <w:tcBorders>
              <w:top w:val="nil"/>
              <w:left w:val="single" w:sz="8" w:space="0" w:color="9BBB59"/>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Mixed/Multiple Ethnic Groups</w:t>
            </w:r>
          </w:p>
        </w:tc>
        <w:tc>
          <w:tcPr>
            <w:tcW w:w="452"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31</w:t>
            </w:r>
          </w:p>
        </w:tc>
        <w:tc>
          <w:tcPr>
            <w:tcW w:w="410"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6.3%</w:t>
            </w:r>
          </w:p>
        </w:tc>
        <w:tc>
          <w:tcPr>
            <w:tcW w:w="453"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29</w:t>
            </w:r>
          </w:p>
        </w:tc>
        <w:tc>
          <w:tcPr>
            <w:tcW w:w="411"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62.1%</w:t>
            </w:r>
          </w:p>
        </w:tc>
        <w:tc>
          <w:tcPr>
            <w:tcW w:w="530" w:type="pct"/>
            <w:tcBorders>
              <w:top w:val="nil"/>
              <w:left w:val="nil"/>
              <w:bottom w:val="single" w:sz="8" w:space="0" w:color="9BBB59"/>
              <w:right w:val="single" w:sz="8" w:space="0" w:color="9BBB59"/>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57.0%</w:t>
            </w:r>
          </w:p>
        </w:tc>
        <w:tc>
          <w:tcPr>
            <w:tcW w:w="512"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31166F">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3</w:t>
            </w:r>
            <w:r w:rsidR="0031166F">
              <w:rPr>
                <w:rFonts w:ascii="Calibri" w:eastAsia="Times New Roman" w:hAnsi="Calibri" w:cs="Times New Roman"/>
                <w:color w:val="000000"/>
                <w:sz w:val="20"/>
                <w:szCs w:val="20"/>
                <w:lang w:eastAsia="en-GB"/>
              </w:rPr>
              <w:t>2</w:t>
            </w:r>
          </w:p>
        </w:tc>
        <w:tc>
          <w:tcPr>
            <w:tcW w:w="463"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31166F">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5</w:t>
            </w:r>
            <w:r w:rsidR="0031166F">
              <w:rPr>
                <w:rFonts w:ascii="Calibri" w:eastAsia="Times New Roman" w:hAnsi="Calibri" w:cs="Times New Roman"/>
                <w:color w:val="000000"/>
                <w:sz w:val="20"/>
                <w:szCs w:val="20"/>
                <w:lang w:eastAsia="en-GB"/>
              </w:rPr>
              <w:t>3.1</w:t>
            </w:r>
            <w:r w:rsidRPr="009640EE">
              <w:rPr>
                <w:rFonts w:ascii="Calibri" w:eastAsia="Times New Roman" w:hAnsi="Calibri" w:cs="Times New Roman"/>
                <w:color w:val="000000"/>
                <w:sz w:val="20"/>
                <w:szCs w:val="20"/>
                <w:lang w:eastAsia="en-GB"/>
              </w:rPr>
              <w:t>%</w:t>
            </w:r>
          </w:p>
        </w:tc>
      </w:tr>
      <w:tr w:rsidR="009640EE" w:rsidRPr="009640EE" w:rsidTr="009640EE">
        <w:trPr>
          <w:trHeight w:val="315"/>
        </w:trPr>
        <w:tc>
          <w:tcPr>
            <w:tcW w:w="1770" w:type="pct"/>
            <w:tcBorders>
              <w:top w:val="nil"/>
              <w:left w:val="single" w:sz="8" w:space="0" w:color="9BBB59"/>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Other Ethnic Group</w:t>
            </w:r>
          </w:p>
        </w:tc>
        <w:tc>
          <w:tcPr>
            <w:tcW w:w="452"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7</w:t>
            </w:r>
          </w:p>
        </w:tc>
        <w:tc>
          <w:tcPr>
            <w:tcW w:w="410"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57.1%</w:t>
            </w:r>
          </w:p>
        </w:tc>
        <w:tc>
          <w:tcPr>
            <w:tcW w:w="453"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4</w:t>
            </w:r>
          </w:p>
        </w:tc>
        <w:tc>
          <w:tcPr>
            <w:tcW w:w="411"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50.0%</w:t>
            </w:r>
          </w:p>
        </w:tc>
        <w:tc>
          <w:tcPr>
            <w:tcW w:w="530" w:type="pct"/>
            <w:tcBorders>
              <w:top w:val="nil"/>
              <w:left w:val="nil"/>
              <w:bottom w:val="single" w:sz="8" w:space="0" w:color="9BBB59"/>
              <w:right w:val="single" w:sz="8" w:space="0" w:color="9BBB59"/>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54.8%</w:t>
            </w:r>
          </w:p>
        </w:tc>
        <w:tc>
          <w:tcPr>
            <w:tcW w:w="512"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4</w:t>
            </w:r>
          </w:p>
        </w:tc>
        <w:tc>
          <w:tcPr>
            <w:tcW w:w="463"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0.0%</w:t>
            </w:r>
          </w:p>
        </w:tc>
      </w:tr>
      <w:tr w:rsidR="009640EE" w:rsidRPr="009640EE" w:rsidTr="009640EE">
        <w:trPr>
          <w:trHeight w:val="315"/>
        </w:trPr>
        <w:tc>
          <w:tcPr>
            <w:tcW w:w="1770" w:type="pct"/>
            <w:tcBorders>
              <w:top w:val="nil"/>
              <w:left w:val="single" w:sz="8" w:space="0" w:color="9BBB59"/>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Unknown</w:t>
            </w:r>
          </w:p>
        </w:tc>
        <w:tc>
          <w:tcPr>
            <w:tcW w:w="452"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410"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453"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2</w:t>
            </w:r>
          </w:p>
        </w:tc>
        <w:tc>
          <w:tcPr>
            <w:tcW w:w="411"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0.0%</w:t>
            </w:r>
          </w:p>
        </w:tc>
        <w:tc>
          <w:tcPr>
            <w:tcW w:w="530" w:type="pct"/>
            <w:tcBorders>
              <w:top w:val="nil"/>
              <w:left w:val="nil"/>
              <w:bottom w:val="single" w:sz="8" w:space="0" w:color="9BBB59"/>
              <w:right w:val="single" w:sz="8" w:space="0" w:color="9BBB59"/>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49.8%</w:t>
            </w:r>
          </w:p>
        </w:tc>
        <w:tc>
          <w:tcPr>
            <w:tcW w:w="512" w:type="pct"/>
            <w:tcBorders>
              <w:top w:val="nil"/>
              <w:left w:val="nil"/>
              <w:bottom w:val="single" w:sz="8" w:space="0" w:color="9BBB59"/>
              <w:right w:val="single" w:sz="8" w:space="0" w:color="9BBB59"/>
            </w:tcBorders>
            <w:shd w:val="clear" w:color="auto" w:fill="auto"/>
            <w:noWrap/>
            <w:vAlign w:val="center"/>
            <w:hideMark/>
          </w:tcPr>
          <w:p w:rsidR="009640EE" w:rsidRPr="009640EE" w:rsidRDefault="0031166F" w:rsidP="009640EE">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51</w:t>
            </w:r>
          </w:p>
        </w:tc>
        <w:tc>
          <w:tcPr>
            <w:tcW w:w="463"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31166F">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5</w:t>
            </w:r>
            <w:r w:rsidR="0031166F">
              <w:rPr>
                <w:rFonts w:ascii="Calibri" w:eastAsia="Times New Roman" w:hAnsi="Calibri" w:cs="Times New Roman"/>
                <w:color w:val="000000"/>
                <w:sz w:val="20"/>
                <w:szCs w:val="20"/>
                <w:lang w:eastAsia="en-GB"/>
              </w:rPr>
              <w:t>6.9</w:t>
            </w:r>
            <w:r w:rsidRPr="009640EE">
              <w:rPr>
                <w:rFonts w:ascii="Calibri" w:eastAsia="Times New Roman" w:hAnsi="Calibri" w:cs="Times New Roman"/>
                <w:color w:val="000000"/>
                <w:sz w:val="20"/>
                <w:szCs w:val="20"/>
                <w:lang w:eastAsia="en-GB"/>
              </w:rPr>
              <w:t>%</w:t>
            </w:r>
          </w:p>
        </w:tc>
      </w:tr>
      <w:tr w:rsidR="009640EE" w:rsidRPr="009640EE" w:rsidTr="009640EE">
        <w:trPr>
          <w:trHeight w:val="315"/>
        </w:trPr>
        <w:tc>
          <w:tcPr>
            <w:tcW w:w="1770" w:type="pct"/>
            <w:tcBorders>
              <w:top w:val="nil"/>
              <w:left w:val="single" w:sz="8" w:space="0" w:color="9BBB59"/>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452"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410"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453"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411"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530" w:type="pct"/>
            <w:tcBorders>
              <w:top w:val="nil"/>
              <w:left w:val="nil"/>
              <w:bottom w:val="single" w:sz="8" w:space="0" w:color="9BBB59"/>
              <w:right w:val="single" w:sz="8" w:space="0" w:color="9BBB59"/>
            </w:tcBorders>
            <w:shd w:val="clear" w:color="000000" w:fill="BFBFBF"/>
            <w:noWrap/>
            <w:vAlign w:val="center"/>
            <w:hideMark/>
          </w:tcPr>
          <w:p w:rsidR="009640EE" w:rsidRPr="009640EE" w:rsidRDefault="009640EE" w:rsidP="009640EE">
            <w:pPr>
              <w:spacing w:after="0" w:line="240" w:lineRule="auto"/>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 </w:t>
            </w:r>
          </w:p>
        </w:tc>
        <w:tc>
          <w:tcPr>
            <w:tcW w:w="512"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463"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r>
      <w:tr w:rsidR="009640EE" w:rsidRPr="009640EE" w:rsidTr="009640EE">
        <w:trPr>
          <w:trHeight w:val="315"/>
        </w:trPr>
        <w:tc>
          <w:tcPr>
            <w:tcW w:w="1770" w:type="pct"/>
            <w:tcBorders>
              <w:top w:val="nil"/>
              <w:left w:val="single" w:sz="8" w:space="0" w:color="9BBB59"/>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Other Ethnic Groups</w:t>
            </w:r>
          </w:p>
        </w:tc>
        <w:tc>
          <w:tcPr>
            <w:tcW w:w="452"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109</w:t>
            </w:r>
          </w:p>
        </w:tc>
        <w:tc>
          <w:tcPr>
            <w:tcW w:w="410"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53.2%</w:t>
            </w:r>
          </w:p>
        </w:tc>
        <w:tc>
          <w:tcPr>
            <w:tcW w:w="453"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82</w:t>
            </w:r>
          </w:p>
        </w:tc>
        <w:tc>
          <w:tcPr>
            <w:tcW w:w="411"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64.6%</w:t>
            </w:r>
          </w:p>
        </w:tc>
        <w:tc>
          <w:tcPr>
            <w:tcW w:w="530" w:type="pct"/>
            <w:tcBorders>
              <w:top w:val="nil"/>
              <w:left w:val="nil"/>
              <w:bottom w:val="single" w:sz="8" w:space="0" w:color="9BBB59"/>
              <w:right w:val="single" w:sz="8" w:space="0" w:color="9BBB59"/>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56.9%</w:t>
            </w:r>
          </w:p>
        </w:tc>
        <w:tc>
          <w:tcPr>
            <w:tcW w:w="512"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31166F">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w:t>
            </w:r>
            <w:r w:rsidR="0031166F">
              <w:rPr>
                <w:rFonts w:ascii="Calibri" w:eastAsia="Times New Roman" w:hAnsi="Calibri" w:cs="Times New Roman"/>
                <w:color w:val="000000"/>
                <w:sz w:val="20"/>
                <w:szCs w:val="20"/>
                <w:lang w:eastAsia="en-GB"/>
              </w:rPr>
              <w:t>14</w:t>
            </w:r>
          </w:p>
        </w:tc>
        <w:tc>
          <w:tcPr>
            <w:tcW w:w="463"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31166F">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5</w:t>
            </w:r>
            <w:r w:rsidR="0031166F">
              <w:rPr>
                <w:rFonts w:ascii="Calibri" w:eastAsia="Times New Roman" w:hAnsi="Calibri" w:cs="Times New Roman"/>
                <w:color w:val="000000"/>
                <w:sz w:val="20"/>
                <w:szCs w:val="20"/>
                <w:lang w:eastAsia="en-GB"/>
              </w:rPr>
              <w:t>6.1</w:t>
            </w:r>
            <w:r w:rsidRPr="009640EE">
              <w:rPr>
                <w:rFonts w:ascii="Calibri" w:eastAsia="Times New Roman" w:hAnsi="Calibri" w:cs="Times New Roman"/>
                <w:color w:val="000000"/>
                <w:sz w:val="20"/>
                <w:szCs w:val="20"/>
                <w:lang w:eastAsia="en-GB"/>
              </w:rPr>
              <w:t>%</w:t>
            </w:r>
          </w:p>
        </w:tc>
      </w:tr>
      <w:tr w:rsidR="009640EE" w:rsidRPr="009640EE" w:rsidTr="009640EE">
        <w:trPr>
          <w:trHeight w:val="315"/>
        </w:trPr>
        <w:tc>
          <w:tcPr>
            <w:tcW w:w="1770" w:type="pct"/>
            <w:tcBorders>
              <w:top w:val="nil"/>
              <w:left w:val="single" w:sz="8" w:space="0" w:color="9BBB59"/>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White</w:t>
            </w:r>
          </w:p>
        </w:tc>
        <w:tc>
          <w:tcPr>
            <w:tcW w:w="452"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1,718</w:t>
            </w:r>
          </w:p>
        </w:tc>
        <w:tc>
          <w:tcPr>
            <w:tcW w:w="410"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59.3%</w:t>
            </w:r>
          </w:p>
        </w:tc>
        <w:tc>
          <w:tcPr>
            <w:tcW w:w="453"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1,524</w:t>
            </w:r>
          </w:p>
        </w:tc>
        <w:tc>
          <w:tcPr>
            <w:tcW w:w="411"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63.6%</w:t>
            </w:r>
          </w:p>
        </w:tc>
        <w:tc>
          <w:tcPr>
            <w:tcW w:w="530" w:type="pct"/>
            <w:tcBorders>
              <w:top w:val="nil"/>
              <w:left w:val="nil"/>
              <w:bottom w:val="single" w:sz="8" w:space="0" w:color="9BBB59"/>
              <w:right w:val="single" w:sz="8" w:space="0" w:color="9BBB59"/>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60.7%</w:t>
            </w:r>
          </w:p>
        </w:tc>
        <w:tc>
          <w:tcPr>
            <w:tcW w:w="512"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31166F">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1,8</w:t>
            </w:r>
            <w:r w:rsidR="0031166F">
              <w:rPr>
                <w:rFonts w:ascii="Calibri" w:eastAsia="Times New Roman" w:hAnsi="Calibri" w:cs="Times New Roman"/>
                <w:color w:val="000000"/>
                <w:sz w:val="20"/>
                <w:szCs w:val="20"/>
                <w:lang w:eastAsia="en-GB"/>
              </w:rPr>
              <w:t>17</w:t>
            </w:r>
          </w:p>
        </w:tc>
        <w:tc>
          <w:tcPr>
            <w:tcW w:w="463" w:type="pct"/>
            <w:tcBorders>
              <w:top w:val="nil"/>
              <w:left w:val="nil"/>
              <w:bottom w:val="single" w:sz="8" w:space="0" w:color="9BBB59"/>
              <w:right w:val="single" w:sz="8" w:space="0" w:color="9BBB59"/>
            </w:tcBorders>
            <w:shd w:val="clear" w:color="auto" w:fill="auto"/>
            <w:noWrap/>
            <w:vAlign w:val="center"/>
            <w:hideMark/>
          </w:tcPr>
          <w:p w:rsidR="009640EE" w:rsidRPr="009640EE" w:rsidRDefault="0031166F" w:rsidP="009640EE">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60.1</w:t>
            </w:r>
            <w:r w:rsidR="009640EE" w:rsidRPr="009640EE">
              <w:rPr>
                <w:rFonts w:ascii="Calibri" w:eastAsia="Times New Roman" w:hAnsi="Calibri" w:cs="Times New Roman"/>
                <w:color w:val="000000"/>
                <w:sz w:val="20"/>
                <w:szCs w:val="20"/>
                <w:lang w:eastAsia="en-GB"/>
              </w:rPr>
              <w:t>%</w:t>
            </w:r>
          </w:p>
        </w:tc>
      </w:tr>
      <w:tr w:rsidR="009640EE" w:rsidRPr="009640EE" w:rsidTr="009640EE">
        <w:trPr>
          <w:trHeight w:val="315"/>
        </w:trPr>
        <w:tc>
          <w:tcPr>
            <w:tcW w:w="1770" w:type="pct"/>
            <w:tcBorders>
              <w:top w:val="nil"/>
              <w:left w:val="single" w:sz="8" w:space="0" w:color="9BBB59"/>
              <w:bottom w:val="single" w:sz="8" w:space="0" w:color="9BBB59"/>
              <w:right w:val="single" w:sz="8" w:space="0" w:color="9BBB59"/>
            </w:tcBorders>
            <w:shd w:val="clear" w:color="auto" w:fill="auto"/>
            <w:noWrap/>
            <w:vAlign w:val="center"/>
            <w:hideMark/>
          </w:tcPr>
          <w:p w:rsidR="009640EE" w:rsidRDefault="009640EE" w:rsidP="009640EE">
            <w:pPr>
              <w:spacing w:after="0" w:line="240" w:lineRule="auto"/>
              <w:rPr>
                <w:rFonts w:ascii="Calibri" w:eastAsia="Times New Roman" w:hAnsi="Calibri" w:cs="Times New Roman"/>
                <w:b/>
                <w:bCs/>
                <w:color w:val="000000"/>
                <w:sz w:val="20"/>
                <w:szCs w:val="20"/>
                <w:lang w:eastAsia="en-GB"/>
              </w:rPr>
            </w:pPr>
          </w:p>
          <w:p w:rsidR="009640EE" w:rsidRPr="009640EE" w:rsidRDefault="009640EE" w:rsidP="009640EE">
            <w:pPr>
              <w:spacing w:after="0" w:line="240" w:lineRule="auto"/>
              <w:rPr>
                <w:rFonts w:ascii="Calibri" w:eastAsia="Times New Roman" w:hAnsi="Calibri" w:cs="Times New Roman"/>
                <w:b/>
                <w:bCs/>
                <w:color w:val="000000"/>
                <w:sz w:val="20"/>
                <w:szCs w:val="20"/>
                <w:lang w:eastAsia="en-GB"/>
              </w:rPr>
            </w:pPr>
            <w:r w:rsidRPr="009640EE">
              <w:rPr>
                <w:rFonts w:ascii="Calibri" w:eastAsia="Times New Roman" w:hAnsi="Calibri" w:cs="Times New Roman"/>
                <w:b/>
                <w:bCs/>
                <w:color w:val="000000"/>
                <w:sz w:val="20"/>
                <w:szCs w:val="20"/>
                <w:lang w:eastAsia="en-GB"/>
              </w:rPr>
              <w:t>Achievement Gap</w:t>
            </w:r>
          </w:p>
        </w:tc>
        <w:tc>
          <w:tcPr>
            <w:tcW w:w="452"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410"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6.1%</w:t>
            </w:r>
          </w:p>
        </w:tc>
        <w:tc>
          <w:tcPr>
            <w:tcW w:w="453"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411"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1.0%</w:t>
            </w:r>
          </w:p>
        </w:tc>
        <w:tc>
          <w:tcPr>
            <w:tcW w:w="530" w:type="pct"/>
            <w:tcBorders>
              <w:top w:val="nil"/>
              <w:left w:val="nil"/>
              <w:bottom w:val="single" w:sz="8" w:space="0" w:color="9BBB59"/>
              <w:right w:val="single" w:sz="8" w:space="0" w:color="9BBB59"/>
            </w:tcBorders>
            <w:shd w:val="clear" w:color="000000" w:fill="BFBFBF"/>
            <w:noWrap/>
            <w:vAlign w:val="center"/>
            <w:hideMark/>
          </w:tcPr>
          <w:p w:rsidR="009640EE" w:rsidRPr="009640EE" w:rsidRDefault="009640EE" w:rsidP="009640EE">
            <w:pPr>
              <w:spacing w:after="0" w:line="240" w:lineRule="auto"/>
              <w:jc w:val="center"/>
              <w:rPr>
                <w:rFonts w:ascii="Calibri" w:eastAsia="Times New Roman" w:hAnsi="Calibri" w:cs="Times New Roman"/>
                <w:b/>
                <w:bCs/>
                <w:sz w:val="20"/>
                <w:szCs w:val="20"/>
                <w:lang w:eastAsia="en-GB"/>
              </w:rPr>
            </w:pPr>
            <w:r w:rsidRPr="009640EE">
              <w:rPr>
                <w:rFonts w:ascii="Calibri" w:eastAsia="Times New Roman" w:hAnsi="Calibri" w:cs="Times New Roman"/>
                <w:b/>
                <w:bCs/>
                <w:sz w:val="20"/>
                <w:szCs w:val="20"/>
                <w:lang w:eastAsia="en-GB"/>
              </w:rPr>
              <w:t>3.8%</w:t>
            </w:r>
          </w:p>
        </w:tc>
        <w:tc>
          <w:tcPr>
            <w:tcW w:w="512" w:type="pct"/>
            <w:tcBorders>
              <w:top w:val="nil"/>
              <w:left w:val="nil"/>
              <w:bottom w:val="single" w:sz="8" w:space="0" w:color="9BBB59"/>
              <w:right w:val="single" w:sz="8" w:space="0" w:color="9BBB59"/>
            </w:tcBorders>
            <w:shd w:val="clear" w:color="auto" w:fill="auto"/>
            <w:noWrap/>
            <w:vAlign w:val="center"/>
            <w:hideMark/>
          </w:tcPr>
          <w:p w:rsidR="009640EE" w:rsidRPr="009640EE" w:rsidRDefault="009640EE" w:rsidP="009640EE">
            <w:pPr>
              <w:spacing w:after="0" w:line="240" w:lineRule="auto"/>
              <w:jc w:val="center"/>
              <w:rPr>
                <w:rFonts w:ascii="Calibri" w:eastAsia="Times New Roman" w:hAnsi="Calibri" w:cs="Times New Roman"/>
                <w:color w:val="000000"/>
                <w:sz w:val="20"/>
                <w:szCs w:val="20"/>
                <w:lang w:eastAsia="en-GB"/>
              </w:rPr>
            </w:pPr>
            <w:r w:rsidRPr="009640EE">
              <w:rPr>
                <w:rFonts w:ascii="Calibri" w:eastAsia="Times New Roman" w:hAnsi="Calibri" w:cs="Times New Roman"/>
                <w:color w:val="000000"/>
                <w:sz w:val="20"/>
                <w:szCs w:val="20"/>
                <w:lang w:eastAsia="en-GB"/>
              </w:rPr>
              <w:t> </w:t>
            </w:r>
          </w:p>
        </w:tc>
        <w:tc>
          <w:tcPr>
            <w:tcW w:w="463" w:type="pct"/>
            <w:tcBorders>
              <w:top w:val="nil"/>
              <w:left w:val="nil"/>
              <w:bottom w:val="single" w:sz="8" w:space="0" w:color="9BBB59"/>
              <w:right w:val="single" w:sz="8" w:space="0" w:color="9BBB59"/>
            </w:tcBorders>
            <w:shd w:val="clear" w:color="auto" w:fill="auto"/>
            <w:noWrap/>
            <w:vAlign w:val="center"/>
            <w:hideMark/>
          </w:tcPr>
          <w:p w:rsidR="009640EE" w:rsidRPr="009640EE" w:rsidRDefault="0031166F" w:rsidP="009640EE">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4.0</w:t>
            </w:r>
            <w:r w:rsidR="009640EE" w:rsidRPr="009640EE">
              <w:rPr>
                <w:rFonts w:ascii="Calibri" w:eastAsia="Times New Roman" w:hAnsi="Calibri" w:cs="Times New Roman"/>
                <w:color w:val="000000"/>
                <w:sz w:val="20"/>
                <w:szCs w:val="20"/>
                <w:lang w:eastAsia="en-GB"/>
              </w:rPr>
              <w:t>%</w:t>
            </w:r>
          </w:p>
        </w:tc>
      </w:tr>
    </w:tbl>
    <w:p w:rsidR="00E52619" w:rsidRDefault="00E52619" w:rsidP="009640EE">
      <w:pPr>
        <w:spacing w:after="0" w:line="240" w:lineRule="auto"/>
      </w:pPr>
    </w:p>
    <w:p w:rsidR="009640EE" w:rsidRPr="009640EE" w:rsidRDefault="009640EE" w:rsidP="009640EE">
      <w:pPr>
        <w:spacing w:after="0" w:line="240" w:lineRule="auto"/>
      </w:pPr>
      <w:r w:rsidRPr="009640EE">
        <w:t xml:space="preserve">There is no significant achievement gap in overall achievement between white British and other ethnic groups, this has narrowed from the previous year, the gap is </w:t>
      </w:r>
      <w:r w:rsidR="005374EF">
        <w:t>in line with</w:t>
      </w:r>
      <w:r w:rsidRPr="009640EE">
        <w:t xml:space="preserve"> the national average. </w:t>
      </w:r>
    </w:p>
    <w:p w:rsidR="009640EE" w:rsidRPr="009640EE" w:rsidRDefault="009640EE" w:rsidP="009640EE">
      <w:pPr>
        <w:spacing w:after="120" w:line="240" w:lineRule="auto"/>
        <w:rPr>
          <w:rFonts w:cstheme="minorHAnsi"/>
        </w:rPr>
      </w:pPr>
    </w:p>
    <w:p w:rsidR="009640EE" w:rsidRPr="009640EE" w:rsidRDefault="009640EE" w:rsidP="009640EE">
      <w:pPr>
        <w:spacing w:after="120" w:line="240" w:lineRule="auto"/>
        <w:rPr>
          <w:rFonts w:cstheme="minorHAnsi"/>
        </w:rPr>
      </w:pPr>
      <w:r w:rsidRPr="009640EE">
        <w:rPr>
          <w:rFonts w:cstheme="minorHAnsi"/>
        </w:rPr>
        <w:t xml:space="preserve">There is however an emerging achievement gap for ethnic groups in timely achievement. This has been impacted by partner delivery. </w:t>
      </w:r>
    </w:p>
    <w:p w:rsidR="009640EE" w:rsidRPr="009640EE" w:rsidRDefault="009640EE" w:rsidP="009640EE">
      <w:pPr>
        <w:spacing w:after="120" w:line="240" w:lineRule="auto"/>
        <w:rPr>
          <w:rFonts w:cstheme="minorHAnsi"/>
        </w:rPr>
      </w:pPr>
      <w:r w:rsidRPr="009640EE">
        <w:rPr>
          <w:rFonts w:cstheme="minorHAnsi"/>
        </w:rPr>
        <w:t>There were no ethnicity achievement gaps for LU Derby.</w:t>
      </w:r>
    </w:p>
    <w:p w:rsidR="009640EE" w:rsidRPr="009640EE" w:rsidRDefault="009640EE" w:rsidP="009640EE">
      <w:pPr>
        <w:spacing w:after="120" w:line="240" w:lineRule="auto"/>
        <w:rPr>
          <w:rFonts w:cstheme="minorHAnsi"/>
        </w:rPr>
      </w:pPr>
    </w:p>
    <w:p w:rsidR="009640EE" w:rsidRPr="009640EE" w:rsidRDefault="009640EE" w:rsidP="009640EE">
      <w:pPr>
        <w:spacing w:after="120" w:line="240" w:lineRule="auto"/>
        <w:rPr>
          <w:rFonts w:cstheme="minorHAnsi"/>
          <w:b/>
        </w:rPr>
      </w:pPr>
      <w:r w:rsidRPr="009640EE">
        <w:rPr>
          <w:rFonts w:cstheme="minorHAnsi"/>
          <w:b/>
        </w:rPr>
        <w:t>Students with Learning Difficulties and/or Disability (LLDD)</w:t>
      </w:r>
    </w:p>
    <w:p w:rsidR="009640EE" w:rsidRPr="009640EE" w:rsidRDefault="009640EE" w:rsidP="009640EE">
      <w:pPr>
        <w:spacing w:after="120" w:line="240" w:lineRule="auto"/>
        <w:rPr>
          <w:rFonts w:cstheme="minorHAnsi"/>
          <w:b/>
          <w:color w:val="000000"/>
        </w:rPr>
      </w:pPr>
      <w:r w:rsidRPr="009640EE">
        <w:rPr>
          <w:rFonts w:cstheme="minorHAnsi"/>
          <w:b/>
          <w:color w:val="000000"/>
        </w:rPr>
        <w:t>Overall Apprenticeship Achievement Gap by LLDD - College</w:t>
      </w:r>
    </w:p>
    <w:tbl>
      <w:tblPr>
        <w:tblW w:w="9251" w:type="dxa"/>
        <w:tblInd w:w="108" w:type="dxa"/>
        <w:tblLayout w:type="fixed"/>
        <w:tblLook w:val="04A0" w:firstRow="1" w:lastRow="0" w:firstColumn="1" w:lastColumn="0" w:noHBand="0" w:noVBand="1"/>
      </w:tblPr>
      <w:tblGrid>
        <w:gridCol w:w="2164"/>
        <w:gridCol w:w="1418"/>
        <w:gridCol w:w="1417"/>
        <w:gridCol w:w="1417"/>
        <w:gridCol w:w="1417"/>
        <w:gridCol w:w="1418"/>
      </w:tblGrid>
      <w:tr w:rsidR="009640EE" w:rsidRPr="009640EE" w:rsidTr="009640EE">
        <w:trPr>
          <w:trHeight w:val="315"/>
        </w:trPr>
        <w:tc>
          <w:tcPr>
            <w:tcW w:w="2164" w:type="dxa"/>
            <w:tcBorders>
              <w:top w:val="nil"/>
              <w:left w:val="nil"/>
              <w:bottom w:val="nil"/>
              <w:right w:val="nil"/>
            </w:tcBorders>
            <w:shd w:val="clear" w:color="auto" w:fill="auto"/>
            <w:noWrap/>
            <w:vAlign w:val="center"/>
            <w:hideMark/>
          </w:tcPr>
          <w:p w:rsidR="009640EE" w:rsidRPr="009640EE" w:rsidRDefault="009640EE" w:rsidP="009640EE">
            <w:pPr>
              <w:spacing w:after="0" w:line="240" w:lineRule="auto"/>
              <w:rPr>
                <w:rFonts w:eastAsia="Times New Roman" w:cstheme="minorHAnsi"/>
                <w:color w:val="000000"/>
                <w:sz w:val="20"/>
                <w:szCs w:val="20"/>
              </w:rPr>
            </w:pPr>
          </w:p>
        </w:tc>
        <w:tc>
          <w:tcPr>
            <w:tcW w:w="1418" w:type="dxa"/>
            <w:tcBorders>
              <w:top w:val="nil"/>
              <w:left w:val="nil"/>
              <w:bottom w:val="nil"/>
              <w:right w:val="single" w:sz="8" w:space="0" w:color="auto"/>
            </w:tcBorders>
            <w:shd w:val="clear" w:color="auto" w:fill="auto"/>
            <w:noWrap/>
            <w:vAlign w:val="center"/>
            <w:hideMark/>
          </w:tcPr>
          <w:p w:rsidR="009640EE" w:rsidRPr="009640EE" w:rsidRDefault="009640EE" w:rsidP="009640EE">
            <w:pPr>
              <w:spacing w:after="0" w:line="240" w:lineRule="auto"/>
              <w:rPr>
                <w:rFonts w:eastAsia="Times New Roman" w:cstheme="minorHAnsi"/>
                <w:color w:val="000000"/>
                <w:sz w:val="20"/>
                <w:szCs w:val="20"/>
              </w:rPr>
            </w:pPr>
          </w:p>
        </w:tc>
        <w:tc>
          <w:tcPr>
            <w:tcW w:w="5669" w:type="dxa"/>
            <w:gridSpan w:val="4"/>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center"/>
            <w:hideMark/>
          </w:tcPr>
          <w:p w:rsidR="009640EE" w:rsidRPr="009640EE" w:rsidRDefault="009640EE" w:rsidP="009640EE">
            <w:pPr>
              <w:spacing w:after="0" w:line="240" w:lineRule="auto"/>
              <w:jc w:val="center"/>
              <w:rPr>
                <w:rFonts w:eastAsia="Times New Roman" w:cstheme="minorHAnsi"/>
                <w:b/>
                <w:bCs/>
                <w:color w:val="000000"/>
                <w:sz w:val="20"/>
                <w:szCs w:val="20"/>
              </w:rPr>
            </w:pPr>
            <w:r w:rsidRPr="009640EE">
              <w:rPr>
                <w:rFonts w:eastAsia="Times New Roman" w:cstheme="minorHAnsi"/>
                <w:b/>
                <w:bCs/>
                <w:color w:val="000000"/>
                <w:sz w:val="20"/>
                <w:szCs w:val="20"/>
              </w:rPr>
              <w:t>Overall Achievement</w:t>
            </w:r>
          </w:p>
        </w:tc>
      </w:tr>
      <w:tr w:rsidR="009640EE" w:rsidRPr="009640EE" w:rsidTr="009640EE">
        <w:trPr>
          <w:trHeight w:val="315"/>
        </w:trPr>
        <w:tc>
          <w:tcPr>
            <w:tcW w:w="2164" w:type="dxa"/>
            <w:tcBorders>
              <w:top w:val="nil"/>
              <w:left w:val="nil"/>
              <w:bottom w:val="nil"/>
              <w:right w:val="nil"/>
            </w:tcBorders>
            <w:shd w:val="clear" w:color="auto" w:fill="auto"/>
            <w:noWrap/>
            <w:vAlign w:val="center"/>
            <w:hideMark/>
          </w:tcPr>
          <w:p w:rsidR="009640EE" w:rsidRPr="009640EE" w:rsidRDefault="009640EE" w:rsidP="009640EE">
            <w:pPr>
              <w:spacing w:after="0" w:line="240" w:lineRule="auto"/>
              <w:rPr>
                <w:rFonts w:eastAsia="Times New Roman" w:cstheme="minorHAnsi"/>
                <w:b/>
                <w:color w:val="000000"/>
                <w:sz w:val="20"/>
                <w:szCs w:val="20"/>
              </w:rPr>
            </w:pPr>
            <w:r w:rsidRPr="009640EE">
              <w:rPr>
                <w:rFonts w:eastAsia="Times New Roman" w:cstheme="minorHAnsi"/>
                <w:b/>
                <w:color w:val="000000"/>
                <w:sz w:val="20"/>
                <w:szCs w:val="20"/>
              </w:rPr>
              <w:t>College</w:t>
            </w:r>
          </w:p>
        </w:tc>
        <w:tc>
          <w:tcPr>
            <w:tcW w:w="1418" w:type="dxa"/>
            <w:tcBorders>
              <w:top w:val="nil"/>
              <w:left w:val="nil"/>
              <w:bottom w:val="nil"/>
              <w:right w:val="nil"/>
            </w:tcBorders>
            <w:shd w:val="clear" w:color="auto" w:fill="auto"/>
            <w:noWrap/>
            <w:vAlign w:val="center"/>
            <w:hideMark/>
          </w:tcPr>
          <w:p w:rsidR="009640EE" w:rsidRPr="009640EE" w:rsidRDefault="009640EE" w:rsidP="009640EE">
            <w:pPr>
              <w:spacing w:after="0" w:line="240" w:lineRule="auto"/>
              <w:rPr>
                <w:rFonts w:eastAsia="Times New Roman" w:cstheme="minorHAnsi"/>
                <w:color w:val="000000"/>
                <w:sz w:val="20"/>
                <w:szCs w:val="20"/>
              </w:rPr>
            </w:pPr>
          </w:p>
        </w:tc>
        <w:tc>
          <w:tcPr>
            <w:tcW w:w="1417" w:type="dxa"/>
            <w:tcBorders>
              <w:top w:val="single" w:sz="4" w:space="0" w:color="auto"/>
              <w:left w:val="single" w:sz="8" w:space="0" w:color="auto"/>
              <w:bottom w:val="single" w:sz="8" w:space="0" w:color="auto"/>
              <w:right w:val="single" w:sz="8" w:space="0" w:color="auto"/>
            </w:tcBorders>
            <w:shd w:val="clear" w:color="auto" w:fill="B8CCE4" w:themeFill="accent1" w:themeFillTint="66"/>
            <w:noWrap/>
            <w:vAlign w:val="center"/>
            <w:hideMark/>
          </w:tcPr>
          <w:p w:rsidR="009640EE" w:rsidRPr="009640EE" w:rsidRDefault="009640EE" w:rsidP="009640EE">
            <w:pPr>
              <w:spacing w:after="0" w:line="240" w:lineRule="auto"/>
              <w:jc w:val="center"/>
              <w:rPr>
                <w:rFonts w:eastAsia="Times New Roman" w:cstheme="minorHAnsi"/>
                <w:b/>
                <w:bCs/>
                <w:color w:val="000000"/>
                <w:sz w:val="20"/>
                <w:szCs w:val="20"/>
              </w:rPr>
            </w:pPr>
            <w:r w:rsidRPr="009640EE">
              <w:rPr>
                <w:rFonts w:eastAsia="Times New Roman" w:cstheme="minorHAnsi"/>
                <w:b/>
                <w:bCs/>
                <w:color w:val="000000"/>
                <w:sz w:val="20"/>
                <w:szCs w:val="20"/>
              </w:rPr>
              <w:t>2015/16</w:t>
            </w:r>
          </w:p>
        </w:tc>
        <w:tc>
          <w:tcPr>
            <w:tcW w:w="1417" w:type="dxa"/>
            <w:tcBorders>
              <w:top w:val="single" w:sz="8" w:space="0" w:color="auto"/>
              <w:left w:val="nil"/>
              <w:bottom w:val="single" w:sz="8" w:space="0" w:color="auto"/>
              <w:right w:val="single" w:sz="8" w:space="0" w:color="auto"/>
            </w:tcBorders>
            <w:shd w:val="clear" w:color="auto" w:fill="B8CCE4" w:themeFill="accent1" w:themeFillTint="66"/>
            <w:noWrap/>
            <w:vAlign w:val="center"/>
            <w:hideMark/>
          </w:tcPr>
          <w:p w:rsidR="009640EE" w:rsidRPr="009640EE" w:rsidRDefault="009640EE" w:rsidP="009640EE">
            <w:pPr>
              <w:spacing w:after="0" w:line="240" w:lineRule="auto"/>
              <w:jc w:val="center"/>
              <w:rPr>
                <w:rFonts w:eastAsia="Times New Roman" w:cstheme="minorHAnsi"/>
                <w:b/>
                <w:bCs/>
                <w:color w:val="000000"/>
                <w:sz w:val="20"/>
                <w:szCs w:val="20"/>
              </w:rPr>
            </w:pPr>
            <w:r w:rsidRPr="009640EE">
              <w:rPr>
                <w:rFonts w:eastAsia="Times New Roman" w:cstheme="minorHAnsi"/>
                <w:b/>
                <w:bCs/>
                <w:color w:val="000000"/>
                <w:sz w:val="20"/>
                <w:szCs w:val="20"/>
              </w:rPr>
              <w:t>2016/17</w:t>
            </w:r>
          </w:p>
        </w:tc>
        <w:tc>
          <w:tcPr>
            <w:tcW w:w="1417" w:type="dxa"/>
            <w:tcBorders>
              <w:top w:val="single" w:sz="8" w:space="0" w:color="auto"/>
              <w:left w:val="nil"/>
              <w:bottom w:val="single" w:sz="8" w:space="0" w:color="auto"/>
              <w:right w:val="single" w:sz="8" w:space="0" w:color="auto"/>
            </w:tcBorders>
            <w:shd w:val="clear" w:color="000000" w:fill="D9D9D9"/>
            <w:noWrap/>
            <w:vAlign w:val="center"/>
            <w:hideMark/>
          </w:tcPr>
          <w:p w:rsidR="009640EE" w:rsidRPr="009640EE" w:rsidRDefault="009640EE" w:rsidP="009640EE">
            <w:pPr>
              <w:spacing w:after="0" w:line="240" w:lineRule="auto"/>
              <w:jc w:val="center"/>
              <w:rPr>
                <w:rFonts w:eastAsia="Times New Roman" w:cstheme="minorHAnsi"/>
                <w:b/>
                <w:bCs/>
                <w:color w:val="000000"/>
                <w:sz w:val="20"/>
                <w:szCs w:val="20"/>
              </w:rPr>
            </w:pPr>
            <w:r w:rsidRPr="009640EE">
              <w:rPr>
                <w:rFonts w:eastAsia="Times New Roman" w:cstheme="minorHAnsi"/>
                <w:b/>
                <w:bCs/>
                <w:color w:val="000000"/>
                <w:sz w:val="20"/>
                <w:szCs w:val="20"/>
              </w:rPr>
              <w:t>PPA</w:t>
            </w:r>
          </w:p>
        </w:tc>
        <w:tc>
          <w:tcPr>
            <w:tcW w:w="1418" w:type="dxa"/>
            <w:tcBorders>
              <w:top w:val="single" w:sz="8" w:space="0" w:color="auto"/>
              <w:left w:val="nil"/>
              <w:bottom w:val="single" w:sz="8" w:space="0" w:color="auto"/>
              <w:right w:val="single" w:sz="8" w:space="0" w:color="auto"/>
            </w:tcBorders>
            <w:shd w:val="clear" w:color="auto" w:fill="B8CCE4" w:themeFill="accent1" w:themeFillTint="66"/>
            <w:noWrap/>
            <w:vAlign w:val="center"/>
            <w:hideMark/>
          </w:tcPr>
          <w:p w:rsidR="009640EE" w:rsidRPr="009640EE" w:rsidRDefault="009640EE" w:rsidP="009640EE">
            <w:pPr>
              <w:spacing w:after="0" w:line="240" w:lineRule="auto"/>
              <w:jc w:val="center"/>
              <w:rPr>
                <w:rFonts w:eastAsia="Times New Roman" w:cstheme="minorHAnsi"/>
                <w:b/>
                <w:bCs/>
                <w:color w:val="000000"/>
                <w:sz w:val="20"/>
                <w:szCs w:val="20"/>
              </w:rPr>
            </w:pPr>
            <w:r w:rsidRPr="009640EE">
              <w:rPr>
                <w:rFonts w:eastAsia="Times New Roman" w:cstheme="minorHAnsi"/>
                <w:b/>
                <w:bCs/>
                <w:color w:val="000000"/>
                <w:sz w:val="20"/>
                <w:szCs w:val="20"/>
              </w:rPr>
              <w:t>2017/18</w:t>
            </w:r>
          </w:p>
        </w:tc>
      </w:tr>
      <w:tr w:rsidR="009640EE" w:rsidRPr="009640EE" w:rsidTr="009640EE">
        <w:trPr>
          <w:trHeight w:val="315"/>
        </w:trPr>
        <w:tc>
          <w:tcPr>
            <w:tcW w:w="216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640EE" w:rsidRPr="009640EE" w:rsidRDefault="009640EE" w:rsidP="009640EE">
            <w:pPr>
              <w:spacing w:after="0" w:line="240" w:lineRule="auto"/>
              <w:rPr>
                <w:rFonts w:eastAsia="Times New Roman" w:cstheme="minorHAnsi"/>
                <w:b/>
                <w:color w:val="000000"/>
                <w:sz w:val="20"/>
                <w:szCs w:val="20"/>
              </w:rPr>
            </w:pPr>
            <w:r w:rsidRPr="009640EE">
              <w:rPr>
                <w:rFonts w:eastAsia="Times New Roman" w:cstheme="minorHAnsi"/>
                <w:b/>
                <w:color w:val="000000"/>
                <w:sz w:val="20"/>
                <w:szCs w:val="20"/>
              </w:rPr>
              <w:t>No LLDD</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9640EE" w:rsidRPr="009640EE" w:rsidRDefault="009640EE" w:rsidP="009640EE">
            <w:pPr>
              <w:spacing w:after="0" w:line="240" w:lineRule="auto"/>
              <w:rPr>
                <w:rFonts w:eastAsia="Times New Roman" w:cstheme="minorHAnsi"/>
                <w:color w:val="000000"/>
                <w:sz w:val="20"/>
                <w:szCs w:val="20"/>
              </w:rPr>
            </w:pPr>
            <w:r w:rsidRPr="009640EE">
              <w:rPr>
                <w:rFonts w:eastAsia="Times New Roman" w:cstheme="minorHAnsi"/>
                <w:color w:val="000000"/>
                <w:sz w:val="20"/>
                <w:szCs w:val="20"/>
              </w:rPr>
              <w:t>Leavers</w:t>
            </w:r>
          </w:p>
        </w:tc>
        <w:tc>
          <w:tcPr>
            <w:tcW w:w="1417" w:type="dxa"/>
            <w:tcBorders>
              <w:top w:val="nil"/>
              <w:left w:val="nil"/>
              <w:bottom w:val="single" w:sz="8" w:space="0" w:color="auto"/>
              <w:right w:val="single" w:sz="8" w:space="0" w:color="auto"/>
            </w:tcBorders>
            <w:shd w:val="clear" w:color="auto" w:fill="auto"/>
            <w:noWrap/>
            <w:vAlign w:val="bottom"/>
          </w:tcPr>
          <w:p w:rsidR="009640EE" w:rsidRPr="009640EE" w:rsidRDefault="009640EE" w:rsidP="009640EE">
            <w:pPr>
              <w:spacing w:after="0" w:line="240" w:lineRule="auto"/>
              <w:jc w:val="center"/>
              <w:rPr>
                <w:rFonts w:ascii="Calibri" w:hAnsi="Calibri"/>
                <w:sz w:val="24"/>
                <w:szCs w:val="24"/>
              </w:rPr>
            </w:pPr>
            <w:r w:rsidRPr="009640EE">
              <w:rPr>
                <w:rFonts w:ascii="Calibri" w:hAnsi="Calibri"/>
              </w:rPr>
              <w:t>1808</w:t>
            </w:r>
          </w:p>
        </w:tc>
        <w:tc>
          <w:tcPr>
            <w:tcW w:w="1417" w:type="dxa"/>
            <w:tcBorders>
              <w:top w:val="single" w:sz="8" w:space="0" w:color="auto"/>
              <w:left w:val="nil"/>
              <w:bottom w:val="single" w:sz="8" w:space="0" w:color="auto"/>
              <w:right w:val="single" w:sz="8" w:space="0" w:color="auto"/>
            </w:tcBorders>
            <w:shd w:val="clear" w:color="auto" w:fill="auto"/>
            <w:noWrap/>
            <w:vAlign w:val="bottom"/>
          </w:tcPr>
          <w:p w:rsidR="009640EE" w:rsidRPr="009640EE" w:rsidRDefault="009640EE" w:rsidP="009640EE">
            <w:pPr>
              <w:spacing w:after="0" w:line="240" w:lineRule="auto"/>
              <w:jc w:val="center"/>
              <w:rPr>
                <w:rFonts w:ascii="Calibri" w:hAnsi="Calibri"/>
                <w:sz w:val="24"/>
                <w:szCs w:val="24"/>
              </w:rPr>
            </w:pPr>
            <w:r w:rsidRPr="009640EE">
              <w:rPr>
                <w:rFonts w:ascii="Calibri" w:hAnsi="Calibri"/>
              </w:rPr>
              <w:t>1411</w:t>
            </w:r>
          </w:p>
        </w:tc>
        <w:tc>
          <w:tcPr>
            <w:tcW w:w="1417" w:type="dxa"/>
            <w:tcBorders>
              <w:top w:val="single" w:sz="8" w:space="0" w:color="auto"/>
              <w:left w:val="nil"/>
              <w:bottom w:val="single" w:sz="8" w:space="0" w:color="auto"/>
              <w:right w:val="single" w:sz="8" w:space="0" w:color="auto"/>
            </w:tcBorders>
            <w:shd w:val="clear" w:color="000000" w:fill="D9D9D9"/>
            <w:noWrap/>
            <w:vAlign w:val="bottom"/>
          </w:tcPr>
          <w:p w:rsidR="009640EE" w:rsidRPr="009640EE" w:rsidRDefault="009640EE" w:rsidP="009640EE">
            <w:pPr>
              <w:spacing w:after="0" w:line="240" w:lineRule="auto"/>
              <w:jc w:val="center"/>
              <w:rPr>
                <w:rFonts w:ascii="Calibri" w:hAnsi="Calibri"/>
                <w:color w:val="000000"/>
                <w:sz w:val="24"/>
                <w:szCs w:val="24"/>
              </w:rPr>
            </w:pPr>
            <w:r w:rsidRPr="009640EE">
              <w:rPr>
                <w:rFonts w:ascii="Calibri" w:hAnsi="Calibri"/>
                <w:color w:val="000000"/>
              </w:rPr>
              <w:t> </w:t>
            </w:r>
          </w:p>
        </w:tc>
        <w:tc>
          <w:tcPr>
            <w:tcW w:w="1418" w:type="dxa"/>
            <w:tcBorders>
              <w:top w:val="single" w:sz="8" w:space="0" w:color="auto"/>
              <w:left w:val="nil"/>
              <w:bottom w:val="single" w:sz="8" w:space="0" w:color="auto"/>
              <w:right w:val="single" w:sz="8" w:space="0" w:color="auto"/>
            </w:tcBorders>
            <w:shd w:val="clear" w:color="auto" w:fill="auto"/>
            <w:noWrap/>
            <w:vAlign w:val="bottom"/>
          </w:tcPr>
          <w:p w:rsidR="009640EE" w:rsidRPr="009640EE" w:rsidRDefault="009640EE" w:rsidP="009417E7">
            <w:pPr>
              <w:spacing w:after="0" w:line="240" w:lineRule="auto"/>
              <w:jc w:val="center"/>
              <w:rPr>
                <w:rFonts w:ascii="Calibri" w:hAnsi="Calibri"/>
                <w:sz w:val="24"/>
                <w:szCs w:val="24"/>
              </w:rPr>
            </w:pPr>
            <w:r w:rsidRPr="009640EE">
              <w:rPr>
                <w:rFonts w:ascii="Calibri" w:hAnsi="Calibri"/>
              </w:rPr>
              <w:t>168</w:t>
            </w:r>
            <w:r w:rsidR="009417E7">
              <w:rPr>
                <w:rFonts w:ascii="Calibri" w:hAnsi="Calibri"/>
              </w:rPr>
              <w:t>8</w:t>
            </w:r>
          </w:p>
        </w:tc>
      </w:tr>
      <w:tr w:rsidR="009640EE" w:rsidRPr="009640EE" w:rsidTr="009640EE">
        <w:trPr>
          <w:trHeight w:val="315"/>
        </w:trPr>
        <w:tc>
          <w:tcPr>
            <w:tcW w:w="2164" w:type="dxa"/>
            <w:vMerge/>
            <w:tcBorders>
              <w:top w:val="single" w:sz="8" w:space="0" w:color="auto"/>
              <w:left w:val="single" w:sz="8" w:space="0" w:color="auto"/>
              <w:bottom w:val="single" w:sz="8" w:space="0" w:color="000000"/>
              <w:right w:val="single" w:sz="8" w:space="0" w:color="auto"/>
            </w:tcBorders>
            <w:vAlign w:val="center"/>
            <w:hideMark/>
          </w:tcPr>
          <w:p w:rsidR="009640EE" w:rsidRPr="009640EE" w:rsidRDefault="009640EE" w:rsidP="009640EE">
            <w:pPr>
              <w:spacing w:after="0" w:line="240" w:lineRule="auto"/>
              <w:rPr>
                <w:rFonts w:eastAsia="Times New Roman" w:cstheme="minorHAnsi"/>
                <w:b/>
                <w:color w:val="000000"/>
                <w:sz w:val="20"/>
                <w:szCs w:val="20"/>
              </w:rPr>
            </w:pPr>
          </w:p>
        </w:tc>
        <w:tc>
          <w:tcPr>
            <w:tcW w:w="1418" w:type="dxa"/>
            <w:tcBorders>
              <w:top w:val="nil"/>
              <w:left w:val="nil"/>
              <w:bottom w:val="single" w:sz="8" w:space="0" w:color="auto"/>
              <w:right w:val="single" w:sz="8" w:space="0" w:color="auto"/>
            </w:tcBorders>
            <w:shd w:val="clear" w:color="auto" w:fill="auto"/>
            <w:vAlign w:val="center"/>
            <w:hideMark/>
          </w:tcPr>
          <w:p w:rsidR="009640EE" w:rsidRPr="009640EE" w:rsidRDefault="009640EE" w:rsidP="009640EE">
            <w:pPr>
              <w:spacing w:after="0" w:line="240" w:lineRule="auto"/>
              <w:rPr>
                <w:rFonts w:eastAsia="Times New Roman" w:cstheme="minorHAnsi"/>
                <w:color w:val="000000"/>
                <w:sz w:val="20"/>
                <w:szCs w:val="20"/>
              </w:rPr>
            </w:pPr>
            <w:r w:rsidRPr="009640EE">
              <w:rPr>
                <w:rFonts w:eastAsia="Times New Roman" w:cstheme="minorHAnsi"/>
                <w:color w:val="000000"/>
                <w:sz w:val="20"/>
                <w:szCs w:val="20"/>
              </w:rPr>
              <w:t>Achievement</w:t>
            </w:r>
          </w:p>
        </w:tc>
        <w:tc>
          <w:tcPr>
            <w:tcW w:w="1417" w:type="dxa"/>
            <w:tcBorders>
              <w:top w:val="nil"/>
              <w:left w:val="nil"/>
              <w:bottom w:val="single" w:sz="8" w:space="0" w:color="auto"/>
              <w:right w:val="single" w:sz="8" w:space="0" w:color="auto"/>
            </w:tcBorders>
            <w:shd w:val="clear" w:color="auto" w:fill="auto"/>
            <w:noWrap/>
            <w:vAlign w:val="bottom"/>
          </w:tcPr>
          <w:p w:rsidR="009640EE" w:rsidRPr="009640EE" w:rsidRDefault="009640EE" w:rsidP="009640EE">
            <w:pPr>
              <w:spacing w:after="0" w:line="240" w:lineRule="auto"/>
              <w:jc w:val="center"/>
              <w:rPr>
                <w:rFonts w:ascii="Calibri" w:hAnsi="Calibri"/>
                <w:sz w:val="24"/>
                <w:szCs w:val="24"/>
              </w:rPr>
            </w:pPr>
            <w:r w:rsidRPr="009640EE">
              <w:rPr>
                <w:rFonts w:ascii="Calibri" w:hAnsi="Calibri"/>
              </w:rPr>
              <w:t>73.1%</w:t>
            </w:r>
          </w:p>
        </w:tc>
        <w:tc>
          <w:tcPr>
            <w:tcW w:w="1417" w:type="dxa"/>
            <w:tcBorders>
              <w:top w:val="single" w:sz="8" w:space="0" w:color="auto"/>
              <w:left w:val="nil"/>
              <w:bottom w:val="single" w:sz="8" w:space="0" w:color="auto"/>
              <w:right w:val="single" w:sz="8" w:space="0" w:color="auto"/>
            </w:tcBorders>
            <w:shd w:val="clear" w:color="auto" w:fill="auto"/>
            <w:noWrap/>
            <w:vAlign w:val="bottom"/>
          </w:tcPr>
          <w:p w:rsidR="009640EE" w:rsidRPr="009640EE" w:rsidRDefault="009640EE" w:rsidP="009640EE">
            <w:pPr>
              <w:spacing w:after="0" w:line="240" w:lineRule="auto"/>
              <w:jc w:val="center"/>
              <w:rPr>
                <w:rFonts w:ascii="Calibri" w:hAnsi="Calibri"/>
                <w:sz w:val="24"/>
                <w:szCs w:val="24"/>
              </w:rPr>
            </w:pPr>
            <w:r w:rsidRPr="009640EE">
              <w:rPr>
                <w:rFonts w:ascii="Calibri" w:hAnsi="Calibri"/>
              </w:rPr>
              <w:t>71.2%</w:t>
            </w:r>
          </w:p>
        </w:tc>
        <w:tc>
          <w:tcPr>
            <w:tcW w:w="1417" w:type="dxa"/>
            <w:tcBorders>
              <w:top w:val="single" w:sz="8" w:space="0" w:color="auto"/>
              <w:left w:val="nil"/>
              <w:bottom w:val="single" w:sz="8" w:space="0" w:color="auto"/>
              <w:right w:val="single" w:sz="8" w:space="0" w:color="auto"/>
            </w:tcBorders>
            <w:shd w:val="clear" w:color="000000" w:fill="D9D9D9"/>
            <w:noWrap/>
            <w:vAlign w:val="bottom"/>
          </w:tcPr>
          <w:p w:rsidR="009640EE" w:rsidRPr="009640EE" w:rsidRDefault="009640EE" w:rsidP="009640EE">
            <w:pPr>
              <w:spacing w:after="0" w:line="240" w:lineRule="auto"/>
              <w:jc w:val="center"/>
              <w:rPr>
                <w:rFonts w:ascii="Calibri" w:hAnsi="Calibri"/>
                <w:color w:val="000000"/>
                <w:sz w:val="24"/>
                <w:szCs w:val="24"/>
              </w:rPr>
            </w:pPr>
            <w:r w:rsidRPr="009640EE">
              <w:rPr>
                <w:rFonts w:ascii="Calibri" w:hAnsi="Calibri"/>
                <w:color w:val="000000"/>
              </w:rPr>
              <w:t>69.7%</w:t>
            </w:r>
          </w:p>
        </w:tc>
        <w:tc>
          <w:tcPr>
            <w:tcW w:w="1418" w:type="dxa"/>
            <w:tcBorders>
              <w:top w:val="single" w:sz="8" w:space="0" w:color="auto"/>
              <w:left w:val="nil"/>
              <w:bottom w:val="single" w:sz="8" w:space="0" w:color="auto"/>
              <w:right w:val="single" w:sz="8" w:space="0" w:color="auto"/>
            </w:tcBorders>
            <w:shd w:val="clear" w:color="auto" w:fill="auto"/>
            <w:noWrap/>
            <w:vAlign w:val="bottom"/>
          </w:tcPr>
          <w:p w:rsidR="009640EE" w:rsidRPr="009640EE" w:rsidRDefault="009640EE" w:rsidP="009640EE">
            <w:pPr>
              <w:spacing w:after="0" w:line="240" w:lineRule="auto"/>
              <w:jc w:val="center"/>
              <w:rPr>
                <w:rFonts w:ascii="Calibri" w:hAnsi="Calibri"/>
                <w:sz w:val="24"/>
                <w:szCs w:val="24"/>
              </w:rPr>
            </w:pPr>
            <w:r w:rsidRPr="009640EE">
              <w:rPr>
                <w:rFonts w:ascii="Calibri" w:hAnsi="Calibri"/>
              </w:rPr>
              <w:t>70.3%</w:t>
            </w:r>
          </w:p>
        </w:tc>
      </w:tr>
      <w:tr w:rsidR="009640EE" w:rsidRPr="009640EE" w:rsidTr="009640EE">
        <w:trPr>
          <w:trHeight w:val="315"/>
        </w:trPr>
        <w:tc>
          <w:tcPr>
            <w:tcW w:w="216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640EE" w:rsidRPr="009640EE" w:rsidRDefault="009640EE" w:rsidP="009640EE">
            <w:pPr>
              <w:spacing w:after="0" w:line="240" w:lineRule="auto"/>
              <w:rPr>
                <w:rFonts w:eastAsia="Times New Roman" w:cstheme="minorHAnsi"/>
                <w:b/>
                <w:color w:val="000000"/>
                <w:sz w:val="20"/>
                <w:szCs w:val="20"/>
              </w:rPr>
            </w:pPr>
            <w:r w:rsidRPr="009640EE">
              <w:rPr>
                <w:rFonts w:eastAsia="Times New Roman" w:cstheme="minorHAnsi"/>
                <w:b/>
                <w:color w:val="000000"/>
                <w:sz w:val="20"/>
                <w:szCs w:val="20"/>
              </w:rPr>
              <w:t>Declared LLDD</w:t>
            </w:r>
          </w:p>
        </w:tc>
        <w:tc>
          <w:tcPr>
            <w:tcW w:w="1418" w:type="dxa"/>
            <w:tcBorders>
              <w:top w:val="nil"/>
              <w:left w:val="nil"/>
              <w:bottom w:val="single" w:sz="8" w:space="0" w:color="auto"/>
              <w:right w:val="single" w:sz="8" w:space="0" w:color="auto"/>
            </w:tcBorders>
            <w:shd w:val="clear" w:color="auto" w:fill="auto"/>
            <w:noWrap/>
            <w:vAlign w:val="center"/>
            <w:hideMark/>
          </w:tcPr>
          <w:p w:rsidR="009640EE" w:rsidRPr="009640EE" w:rsidRDefault="009640EE" w:rsidP="009640EE">
            <w:pPr>
              <w:spacing w:after="0" w:line="240" w:lineRule="auto"/>
              <w:rPr>
                <w:rFonts w:eastAsia="Times New Roman" w:cstheme="minorHAnsi"/>
                <w:color w:val="000000"/>
                <w:sz w:val="20"/>
                <w:szCs w:val="20"/>
              </w:rPr>
            </w:pPr>
            <w:r w:rsidRPr="009640EE">
              <w:rPr>
                <w:rFonts w:eastAsia="Times New Roman" w:cstheme="minorHAnsi"/>
                <w:color w:val="000000"/>
                <w:sz w:val="20"/>
                <w:szCs w:val="20"/>
              </w:rPr>
              <w:t>Leavers</w:t>
            </w:r>
          </w:p>
        </w:tc>
        <w:tc>
          <w:tcPr>
            <w:tcW w:w="1417" w:type="dxa"/>
            <w:tcBorders>
              <w:top w:val="nil"/>
              <w:left w:val="nil"/>
              <w:bottom w:val="single" w:sz="8" w:space="0" w:color="auto"/>
              <w:right w:val="single" w:sz="8" w:space="0" w:color="auto"/>
            </w:tcBorders>
            <w:shd w:val="clear" w:color="auto" w:fill="auto"/>
            <w:noWrap/>
            <w:vAlign w:val="bottom"/>
          </w:tcPr>
          <w:p w:rsidR="009640EE" w:rsidRPr="009640EE" w:rsidRDefault="009640EE" w:rsidP="009640EE">
            <w:pPr>
              <w:spacing w:after="0" w:line="240" w:lineRule="auto"/>
              <w:jc w:val="center"/>
              <w:rPr>
                <w:rFonts w:ascii="Calibri" w:hAnsi="Calibri"/>
                <w:sz w:val="24"/>
                <w:szCs w:val="24"/>
              </w:rPr>
            </w:pPr>
            <w:r w:rsidRPr="009640EE">
              <w:rPr>
                <w:rFonts w:ascii="Calibri" w:hAnsi="Calibri"/>
              </w:rPr>
              <w:t>190</w:t>
            </w:r>
          </w:p>
        </w:tc>
        <w:tc>
          <w:tcPr>
            <w:tcW w:w="1417" w:type="dxa"/>
            <w:tcBorders>
              <w:top w:val="nil"/>
              <w:left w:val="nil"/>
              <w:bottom w:val="single" w:sz="8" w:space="0" w:color="auto"/>
              <w:right w:val="single" w:sz="8" w:space="0" w:color="auto"/>
            </w:tcBorders>
            <w:shd w:val="clear" w:color="auto" w:fill="auto"/>
            <w:noWrap/>
            <w:vAlign w:val="bottom"/>
          </w:tcPr>
          <w:p w:rsidR="009640EE" w:rsidRPr="009640EE" w:rsidRDefault="009640EE" w:rsidP="009640EE">
            <w:pPr>
              <w:spacing w:after="0" w:line="240" w:lineRule="auto"/>
              <w:jc w:val="center"/>
              <w:rPr>
                <w:rFonts w:ascii="Calibri" w:hAnsi="Calibri"/>
                <w:sz w:val="24"/>
                <w:szCs w:val="24"/>
              </w:rPr>
            </w:pPr>
            <w:r w:rsidRPr="009640EE">
              <w:rPr>
                <w:rFonts w:ascii="Calibri" w:hAnsi="Calibri"/>
              </w:rPr>
              <w:t>182</w:t>
            </w:r>
          </w:p>
        </w:tc>
        <w:tc>
          <w:tcPr>
            <w:tcW w:w="1417" w:type="dxa"/>
            <w:tcBorders>
              <w:top w:val="nil"/>
              <w:left w:val="nil"/>
              <w:bottom w:val="single" w:sz="8" w:space="0" w:color="auto"/>
              <w:right w:val="single" w:sz="8" w:space="0" w:color="auto"/>
            </w:tcBorders>
            <w:shd w:val="clear" w:color="000000" w:fill="D9D9D9"/>
            <w:noWrap/>
            <w:vAlign w:val="bottom"/>
          </w:tcPr>
          <w:p w:rsidR="009640EE" w:rsidRPr="009640EE" w:rsidRDefault="009640EE" w:rsidP="009640EE">
            <w:pPr>
              <w:spacing w:after="0" w:line="240" w:lineRule="auto"/>
              <w:jc w:val="center"/>
              <w:rPr>
                <w:rFonts w:ascii="Calibri" w:hAnsi="Calibri"/>
                <w:color w:val="000000"/>
                <w:sz w:val="24"/>
                <w:szCs w:val="24"/>
              </w:rPr>
            </w:pPr>
            <w:r w:rsidRPr="009640EE">
              <w:rPr>
                <w:rFonts w:ascii="Calibri" w:hAnsi="Calibri"/>
                <w:color w:val="000000"/>
              </w:rPr>
              <w:t> </w:t>
            </w:r>
          </w:p>
        </w:tc>
        <w:tc>
          <w:tcPr>
            <w:tcW w:w="1418" w:type="dxa"/>
            <w:tcBorders>
              <w:top w:val="nil"/>
              <w:left w:val="nil"/>
              <w:bottom w:val="single" w:sz="8" w:space="0" w:color="auto"/>
              <w:right w:val="single" w:sz="8" w:space="0" w:color="auto"/>
            </w:tcBorders>
            <w:shd w:val="clear" w:color="auto" w:fill="auto"/>
            <w:noWrap/>
            <w:vAlign w:val="bottom"/>
          </w:tcPr>
          <w:p w:rsidR="009640EE" w:rsidRPr="009640EE" w:rsidRDefault="009640EE" w:rsidP="009640EE">
            <w:pPr>
              <w:spacing w:after="0" w:line="240" w:lineRule="auto"/>
              <w:jc w:val="center"/>
              <w:rPr>
                <w:rFonts w:ascii="Calibri" w:hAnsi="Calibri"/>
                <w:sz w:val="24"/>
                <w:szCs w:val="24"/>
              </w:rPr>
            </w:pPr>
            <w:r w:rsidRPr="009640EE">
              <w:rPr>
                <w:rFonts w:ascii="Calibri" w:hAnsi="Calibri"/>
              </w:rPr>
              <w:t>244</w:t>
            </w:r>
          </w:p>
        </w:tc>
      </w:tr>
      <w:tr w:rsidR="009640EE" w:rsidRPr="009640EE" w:rsidTr="009640EE">
        <w:trPr>
          <w:trHeight w:val="315"/>
        </w:trPr>
        <w:tc>
          <w:tcPr>
            <w:tcW w:w="2164" w:type="dxa"/>
            <w:vMerge/>
            <w:tcBorders>
              <w:top w:val="nil"/>
              <w:left w:val="single" w:sz="8" w:space="0" w:color="auto"/>
              <w:bottom w:val="single" w:sz="8" w:space="0" w:color="000000"/>
              <w:right w:val="single" w:sz="8" w:space="0" w:color="auto"/>
            </w:tcBorders>
            <w:vAlign w:val="center"/>
            <w:hideMark/>
          </w:tcPr>
          <w:p w:rsidR="009640EE" w:rsidRPr="009640EE" w:rsidRDefault="009640EE" w:rsidP="009640EE">
            <w:pPr>
              <w:spacing w:after="0" w:line="240" w:lineRule="auto"/>
              <w:rPr>
                <w:rFonts w:eastAsia="Times New Roman" w:cstheme="minorHAnsi"/>
                <w:color w:val="000000"/>
                <w:sz w:val="20"/>
                <w:szCs w:val="20"/>
              </w:rPr>
            </w:pPr>
          </w:p>
        </w:tc>
        <w:tc>
          <w:tcPr>
            <w:tcW w:w="1418" w:type="dxa"/>
            <w:tcBorders>
              <w:top w:val="nil"/>
              <w:left w:val="nil"/>
              <w:bottom w:val="single" w:sz="8" w:space="0" w:color="auto"/>
              <w:right w:val="single" w:sz="8" w:space="0" w:color="auto"/>
            </w:tcBorders>
            <w:shd w:val="clear" w:color="auto" w:fill="auto"/>
            <w:noWrap/>
            <w:vAlign w:val="center"/>
            <w:hideMark/>
          </w:tcPr>
          <w:p w:rsidR="009640EE" w:rsidRPr="009640EE" w:rsidRDefault="009640EE" w:rsidP="009640EE">
            <w:pPr>
              <w:spacing w:after="0" w:line="240" w:lineRule="auto"/>
              <w:rPr>
                <w:rFonts w:eastAsia="Times New Roman" w:cstheme="minorHAnsi"/>
                <w:color w:val="000000"/>
                <w:sz w:val="20"/>
                <w:szCs w:val="20"/>
              </w:rPr>
            </w:pPr>
            <w:r w:rsidRPr="009640EE">
              <w:rPr>
                <w:rFonts w:eastAsia="Times New Roman" w:cstheme="minorHAnsi"/>
                <w:color w:val="000000"/>
                <w:sz w:val="20"/>
                <w:szCs w:val="20"/>
              </w:rPr>
              <w:t>Achievement</w:t>
            </w:r>
          </w:p>
        </w:tc>
        <w:tc>
          <w:tcPr>
            <w:tcW w:w="1417" w:type="dxa"/>
            <w:tcBorders>
              <w:top w:val="nil"/>
              <w:left w:val="nil"/>
              <w:bottom w:val="single" w:sz="8" w:space="0" w:color="auto"/>
              <w:right w:val="single" w:sz="8" w:space="0" w:color="auto"/>
            </w:tcBorders>
            <w:shd w:val="clear" w:color="auto" w:fill="auto"/>
            <w:noWrap/>
            <w:vAlign w:val="bottom"/>
          </w:tcPr>
          <w:p w:rsidR="009640EE" w:rsidRPr="009640EE" w:rsidRDefault="009640EE" w:rsidP="009640EE">
            <w:pPr>
              <w:spacing w:after="0" w:line="240" w:lineRule="auto"/>
              <w:jc w:val="center"/>
              <w:rPr>
                <w:rFonts w:ascii="Calibri" w:hAnsi="Calibri"/>
                <w:sz w:val="24"/>
                <w:szCs w:val="24"/>
              </w:rPr>
            </w:pPr>
            <w:r w:rsidRPr="009640EE">
              <w:rPr>
                <w:rFonts w:ascii="Calibri" w:hAnsi="Calibri"/>
              </w:rPr>
              <w:t>65.8%</w:t>
            </w:r>
          </w:p>
        </w:tc>
        <w:tc>
          <w:tcPr>
            <w:tcW w:w="1417" w:type="dxa"/>
            <w:tcBorders>
              <w:top w:val="nil"/>
              <w:left w:val="nil"/>
              <w:bottom w:val="single" w:sz="8" w:space="0" w:color="auto"/>
              <w:right w:val="single" w:sz="8" w:space="0" w:color="auto"/>
            </w:tcBorders>
            <w:shd w:val="clear" w:color="auto" w:fill="auto"/>
            <w:noWrap/>
            <w:vAlign w:val="bottom"/>
          </w:tcPr>
          <w:p w:rsidR="009640EE" w:rsidRPr="009640EE" w:rsidRDefault="009640EE" w:rsidP="009640EE">
            <w:pPr>
              <w:spacing w:after="0" w:line="240" w:lineRule="auto"/>
              <w:jc w:val="center"/>
              <w:rPr>
                <w:rFonts w:ascii="Calibri" w:hAnsi="Calibri"/>
                <w:sz w:val="24"/>
                <w:szCs w:val="24"/>
              </w:rPr>
            </w:pPr>
            <w:r w:rsidRPr="009640EE">
              <w:rPr>
                <w:rFonts w:ascii="Calibri" w:hAnsi="Calibri"/>
              </w:rPr>
              <w:t>66.5%</w:t>
            </w:r>
          </w:p>
        </w:tc>
        <w:tc>
          <w:tcPr>
            <w:tcW w:w="1417" w:type="dxa"/>
            <w:tcBorders>
              <w:top w:val="nil"/>
              <w:left w:val="nil"/>
              <w:bottom w:val="single" w:sz="8" w:space="0" w:color="auto"/>
              <w:right w:val="single" w:sz="8" w:space="0" w:color="auto"/>
            </w:tcBorders>
            <w:shd w:val="clear" w:color="000000" w:fill="D9D9D9"/>
            <w:noWrap/>
            <w:vAlign w:val="bottom"/>
          </w:tcPr>
          <w:p w:rsidR="009640EE" w:rsidRPr="009640EE" w:rsidRDefault="009640EE" w:rsidP="009640EE">
            <w:pPr>
              <w:spacing w:after="0" w:line="240" w:lineRule="auto"/>
              <w:jc w:val="center"/>
              <w:rPr>
                <w:rFonts w:ascii="Calibri" w:hAnsi="Calibri"/>
                <w:color w:val="000000"/>
                <w:sz w:val="24"/>
                <w:szCs w:val="24"/>
              </w:rPr>
            </w:pPr>
            <w:r w:rsidRPr="009640EE">
              <w:rPr>
                <w:rFonts w:ascii="Calibri" w:hAnsi="Calibri"/>
                <w:color w:val="000000"/>
              </w:rPr>
              <w:t>64.7%</w:t>
            </w:r>
          </w:p>
        </w:tc>
        <w:tc>
          <w:tcPr>
            <w:tcW w:w="1418" w:type="dxa"/>
            <w:tcBorders>
              <w:top w:val="nil"/>
              <w:left w:val="nil"/>
              <w:bottom w:val="single" w:sz="8" w:space="0" w:color="auto"/>
              <w:right w:val="single" w:sz="8" w:space="0" w:color="auto"/>
            </w:tcBorders>
            <w:shd w:val="clear" w:color="auto" w:fill="auto"/>
            <w:noWrap/>
            <w:vAlign w:val="bottom"/>
          </w:tcPr>
          <w:p w:rsidR="009640EE" w:rsidRPr="009640EE" w:rsidRDefault="009640EE" w:rsidP="009640EE">
            <w:pPr>
              <w:spacing w:after="0" w:line="240" w:lineRule="auto"/>
              <w:jc w:val="center"/>
              <w:rPr>
                <w:rFonts w:ascii="Calibri" w:hAnsi="Calibri"/>
                <w:sz w:val="24"/>
                <w:szCs w:val="24"/>
              </w:rPr>
            </w:pPr>
            <w:r w:rsidRPr="009640EE">
              <w:rPr>
                <w:rFonts w:ascii="Calibri" w:hAnsi="Calibri"/>
              </w:rPr>
              <w:t>68.0%</w:t>
            </w:r>
          </w:p>
        </w:tc>
      </w:tr>
      <w:tr w:rsidR="009640EE" w:rsidRPr="009640EE" w:rsidTr="009640EE">
        <w:trPr>
          <w:trHeight w:val="315"/>
        </w:trPr>
        <w:tc>
          <w:tcPr>
            <w:tcW w:w="2164" w:type="dxa"/>
            <w:tcBorders>
              <w:top w:val="nil"/>
              <w:left w:val="single" w:sz="8" w:space="0" w:color="auto"/>
              <w:bottom w:val="single" w:sz="8" w:space="0" w:color="auto"/>
              <w:right w:val="single" w:sz="8" w:space="0" w:color="auto"/>
            </w:tcBorders>
            <w:shd w:val="clear" w:color="auto" w:fill="B8CCE4" w:themeFill="accent1" w:themeFillTint="66"/>
            <w:noWrap/>
            <w:vAlign w:val="center"/>
            <w:hideMark/>
          </w:tcPr>
          <w:p w:rsidR="009640EE" w:rsidRPr="009640EE" w:rsidRDefault="009640EE" w:rsidP="009640EE">
            <w:pPr>
              <w:spacing w:after="0" w:line="240" w:lineRule="auto"/>
              <w:rPr>
                <w:rFonts w:eastAsia="Times New Roman" w:cstheme="minorHAnsi"/>
                <w:b/>
                <w:color w:val="000000"/>
                <w:sz w:val="20"/>
                <w:szCs w:val="20"/>
              </w:rPr>
            </w:pPr>
            <w:r w:rsidRPr="009640EE">
              <w:rPr>
                <w:rFonts w:eastAsia="Times New Roman" w:cstheme="minorHAnsi"/>
                <w:b/>
                <w:color w:val="000000"/>
                <w:sz w:val="20"/>
                <w:szCs w:val="20"/>
              </w:rPr>
              <w:t>Achievement Gap</w:t>
            </w:r>
          </w:p>
        </w:tc>
        <w:tc>
          <w:tcPr>
            <w:tcW w:w="1418" w:type="dxa"/>
            <w:tcBorders>
              <w:top w:val="nil"/>
              <w:left w:val="nil"/>
              <w:bottom w:val="single" w:sz="8" w:space="0" w:color="auto"/>
              <w:right w:val="single" w:sz="8" w:space="0" w:color="auto"/>
            </w:tcBorders>
            <w:shd w:val="clear" w:color="auto" w:fill="B8CCE4" w:themeFill="accent1" w:themeFillTint="66"/>
            <w:noWrap/>
            <w:vAlign w:val="center"/>
            <w:hideMark/>
          </w:tcPr>
          <w:p w:rsidR="009640EE" w:rsidRPr="009640EE" w:rsidRDefault="009640EE" w:rsidP="009640EE">
            <w:pPr>
              <w:spacing w:after="0" w:line="240" w:lineRule="auto"/>
              <w:rPr>
                <w:rFonts w:eastAsia="Times New Roman" w:cstheme="minorHAnsi"/>
                <w:color w:val="000000"/>
                <w:sz w:val="20"/>
                <w:szCs w:val="20"/>
              </w:rPr>
            </w:pPr>
            <w:r w:rsidRPr="009640EE">
              <w:rPr>
                <w:rFonts w:eastAsia="Times New Roman" w:cstheme="minorHAnsi"/>
                <w:color w:val="000000"/>
                <w:sz w:val="20"/>
                <w:szCs w:val="20"/>
              </w:rPr>
              <w:t> </w:t>
            </w:r>
          </w:p>
        </w:tc>
        <w:tc>
          <w:tcPr>
            <w:tcW w:w="1417" w:type="dxa"/>
            <w:tcBorders>
              <w:top w:val="nil"/>
              <w:left w:val="nil"/>
              <w:bottom w:val="single" w:sz="8" w:space="0" w:color="auto"/>
              <w:right w:val="single" w:sz="8" w:space="0" w:color="auto"/>
            </w:tcBorders>
            <w:shd w:val="clear" w:color="auto" w:fill="B8CCE4" w:themeFill="accent1" w:themeFillTint="66"/>
            <w:noWrap/>
            <w:vAlign w:val="bottom"/>
          </w:tcPr>
          <w:p w:rsidR="009640EE" w:rsidRPr="009640EE" w:rsidRDefault="009640EE" w:rsidP="009640EE">
            <w:pPr>
              <w:spacing w:after="0" w:line="240" w:lineRule="auto"/>
              <w:jc w:val="center"/>
              <w:rPr>
                <w:rFonts w:ascii="Calibri" w:hAnsi="Calibri"/>
                <w:sz w:val="24"/>
                <w:szCs w:val="24"/>
              </w:rPr>
            </w:pPr>
            <w:r w:rsidRPr="009640EE">
              <w:rPr>
                <w:rFonts w:ascii="Calibri" w:hAnsi="Calibri"/>
              </w:rPr>
              <w:t>7.3%</w:t>
            </w:r>
          </w:p>
        </w:tc>
        <w:tc>
          <w:tcPr>
            <w:tcW w:w="1417" w:type="dxa"/>
            <w:tcBorders>
              <w:top w:val="nil"/>
              <w:left w:val="nil"/>
              <w:bottom w:val="single" w:sz="8" w:space="0" w:color="auto"/>
              <w:right w:val="single" w:sz="8" w:space="0" w:color="auto"/>
            </w:tcBorders>
            <w:shd w:val="clear" w:color="auto" w:fill="B8CCE4" w:themeFill="accent1" w:themeFillTint="66"/>
            <w:noWrap/>
            <w:vAlign w:val="bottom"/>
          </w:tcPr>
          <w:p w:rsidR="009640EE" w:rsidRPr="009640EE" w:rsidRDefault="009640EE" w:rsidP="009640EE">
            <w:pPr>
              <w:spacing w:after="0" w:line="240" w:lineRule="auto"/>
              <w:jc w:val="center"/>
              <w:rPr>
                <w:rFonts w:ascii="Calibri" w:hAnsi="Calibri"/>
                <w:sz w:val="24"/>
                <w:szCs w:val="24"/>
              </w:rPr>
            </w:pPr>
            <w:r w:rsidRPr="009640EE">
              <w:rPr>
                <w:rFonts w:ascii="Calibri" w:hAnsi="Calibri"/>
              </w:rPr>
              <w:t>4.7%</w:t>
            </w:r>
          </w:p>
        </w:tc>
        <w:tc>
          <w:tcPr>
            <w:tcW w:w="1417" w:type="dxa"/>
            <w:tcBorders>
              <w:top w:val="nil"/>
              <w:left w:val="nil"/>
              <w:bottom w:val="single" w:sz="8" w:space="0" w:color="auto"/>
              <w:right w:val="single" w:sz="8" w:space="0" w:color="auto"/>
            </w:tcBorders>
            <w:shd w:val="clear" w:color="000000" w:fill="D9D9D9"/>
            <w:noWrap/>
            <w:vAlign w:val="bottom"/>
          </w:tcPr>
          <w:p w:rsidR="009640EE" w:rsidRPr="009640EE" w:rsidRDefault="009640EE" w:rsidP="009640EE">
            <w:pPr>
              <w:spacing w:after="0" w:line="240" w:lineRule="auto"/>
              <w:jc w:val="center"/>
              <w:rPr>
                <w:rFonts w:ascii="Calibri" w:hAnsi="Calibri"/>
                <w:color w:val="000000"/>
                <w:sz w:val="24"/>
                <w:szCs w:val="24"/>
              </w:rPr>
            </w:pPr>
            <w:r w:rsidRPr="009640EE">
              <w:rPr>
                <w:rFonts w:ascii="Calibri" w:hAnsi="Calibri"/>
                <w:color w:val="000000"/>
              </w:rPr>
              <w:t>5.0%</w:t>
            </w:r>
          </w:p>
        </w:tc>
        <w:tc>
          <w:tcPr>
            <w:tcW w:w="1418" w:type="dxa"/>
            <w:tcBorders>
              <w:top w:val="nil"/>
              <w:left w:val="nil"/>
              <w:bottom w:val="single" w:sz="8" w:space="0" w:color="auto"/>
              <w:right w:val="single" w:sz="8" w:space="0" w:color="auto"/>
            </w:tcBorders>
            <w:shd w:val="clear" w:color="auto" w:fill="B8CCE4" w:themeFill="accent1" w:themeFillTint="66"/>
            <w:noWrap/>
            <w:vAlign w:val="bottom"/>
          </w:tcPr>
          <w:p w:rsidR="009640EE" w:rsidRPr="009640EE" w:rsidRDefault="009640EE" w:rsidP="009640EE">
            <w:pPr>
              <w:spacing w:after="0" w:line="240" w:lineRule="auto"/>
              <w:jc w:val="center"/>
              <w:rPr>
                <w:rFonts w:ascii="Calibri" w:hAnsi="Calibri"/>
                <w:sz w:val="24"/>
                <w:szCs w:val="24"/>
              </w:rPr>
            </w:pPr>
            <w:r w:rsidRPr="009640EE">
              <w:rPr>
                <w:rFonts w:ascii="Calibri" w:hAnsi="Calibri"/>
              </w:rPr>
              <w:t>2.3%</w:t>
            </w:r>
          </w:p>
        </w:tc>
      </w:tr>
    </w:tbl>
    <w:p w:rsidR="009640EE" w:rsidRPr="009640EE" w:rsidRDefault="009640EE" w:rsidP="009640EE">
      <w:pPr>
        <w:spacing w:after="0" w:line="240" w:lineRule="auto"/>
        <w:rPr>
          <w:highlight w:val="cyan"/>
        </w:rPr>
      </w:pPr>
    </w:p>
    <w:p w:rsidR="009640EE" w:rsidRDefault="009640EE" w:rsidP="009640EE">
      <w:pPr>
        <w:spacing w:after="0" w:line="240" w:lineRule="auto"/>
        <w:rPr>
          <w:rFonts w:cstheme="minorHAnsi"/>
        </w:rPr>
      </w:pPr>
      <w:r w:rsidRPr="009640EE">
        <w:rPr>
          <w:rFonts w:cstheme="minorHAnsi"/>
        </w:rPr>
        <w:t xml:space="preserve">There are no significant gaps between students with and without declared learning difficulties and disabilities; the gaps from the previous year have continued to close and are less than national averages. </w:t>
      </w:r>
    </w:p>
    <w:p w:rsidR="009640EE" w:rsidRPr="009640EE" w:rsidRDefault="009640EE" w:rsidP="009640EE">
      <w:pPr>
        <w:spacing w:after="0" w:line="240" w:lineRule="auto"/>
        <w:rPr>
          <w:rFonts w:cstheme="minorHAnsi"/>
        </w:rPr>
      </w:pPr>
    </w:p>
    <w:p w:rsidR="009640EE" w:rsidRPr="009640EE" w:rsidRDefault="009640EE" w:rsidP="009640EE">
      <w:pPr>
        <w:spacing w:after="0" w:line="240" w:lineRule="auto"/>
        <w:rPr>
          <w:rFonts w:cstheme="minorHAnsi"/>
        </w:rPr>
      </w:pPr>
      <w:r w:rsidRPr="009640EE">
        <w:rPr>
          <w:rFonts w:cstheme="minorHAnsi"/>
          <w:b/>
          <w:color w:val="000000"/>
        </w:rPr>
        <w:t>Overall Apprenticeship Achievement Gap by LLDD – LU Derby</w:t>
      </w:r>
    </w:p>
    <w:tbl>
      <w:tblPr>
        <w:tblW w:w="9251" w:type="dxa"/>
        <w:tblInd w:w="108" w:type="dxa"/>
        <w:tblLayout w:type="fixed"/>
        <w:tblLook w:val="04A0" w:firstRow="1" w:lastRow="0" w:firstColumn="1" w:lastColumn="0" w:noHBand="0" w:noVBand="1"/>
      </w:tblPr>
      <w:tblGrid>
        <w:gridCol w:w="2164"/>
        <w:gridCol w:w="1418"/>
        <w:gridCol w:w="1417"/>
        <w:gridCol w:w="1417"/>
        <w:gridCol w:w="1417"/>
        <w:gridCol w:w="1418"/>
      </w:tblGrid>
      <w:tr w:rsidR="009640EE" w:rsidRPr="009640EE" w:rsidTr="009640EE">
        <w:trPr>
          <w:trHeight w:val="315"/>
        </w:trPr>
        <w:tc>
          <w:tcPr>
            <w:tcW w:w="2164" w:type="dxa"/>
            <w:tcBorders>
              <w:top w:val="nil"/>
              <w:left w:val="nil"/>
              <w:bottom w:val="nil"/>
              <w:right w:val="nil"/>
            </w:tcBorders>
            <w:shd w:val="clear" w:color="auto" w:fill="auto"/>
            <w:noWrap/>
            <w:vAlign w:val="center"/>
            <w:hideMark/>
          </w:tcPr>
          <w:p w:rsidR="009640EE" w:rsidRPr="009640EE" w:rsidRDefault="009640EE" w:rsidP="009640EE">
            <w:pPr>
              <w:spacing w:after="0" w:line="240" w:lineRule="auto"/>
              <w:rPr>
                <w:rFonts w:eastAsia="Times New Roman" w:cstheme="minorHAnsi"/>
                <w:color w:val="000000"/>
                <w:sz w:val="20"/>
                <w:szCs w:val="20"/>
              </w:rPr>
            </w:pPr>
          </w:p>
        </w:tc>
        <w:tc>
          <w:tcPr>
            <w:tcW w:w="1418" w:type="dxa"/>
            <w:tcBorders>
              <w:top w:val="nil"/>
              <w:left w:val="nil"/>
              <w:bottom w:val="nil"/>
              <w:right w:val="single" w:sz="8" w:space="0" w:color="auto"/>
            </w:tcBorders>
            <w:shd w:val="clear" w:color="auto" w:fill="auto"/>
            <w:noWrap/>
            <w:vAlign w:val="center"/>
            <w:hideMark/>
          </w:tcPr>
          <w:p w:rsidR="009640EE" w:rsidRPr="009640EE" w:rsidRDefault="009640EE" w:rsidP="009640EE">
            <w:pPr>
              <w:spacing w:after="0" w:line="240" w:lineRule="auto"/>
              <w:rPr>
                <w:rFonts w:eastAsia="Times New Roman" w:cstheme="minorHAnsi"/>
                <w:color w:val="000000"/>
                <w:sz w:val="20"/>
                <w:szCs w:val="20"/>
              </w:rPr>
            </w:pPr>
          </w:p>
        </w:tc>
        <w:tc>
          <w:tcPr>
            <w:tcW w:w="5669" w:type="dxa"/>
            <w:gridSpan w:val="4"/>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center"/>
            <w:hideMark/>
          </w:tcPr>
          <w:p w:rsidR="009640EE" w:rsidRPr="009640EE" w:rsidRDefault="009640EE" w:rsidP="009640EE">
            <w:pPr>
              <w:spacing w:after="0" w:line="240" w:lineRule="auto"/>
              <w:jc w:val="center"/>
              <w:rPr>
                <w:rFonts w:eastAsia="Times New Roman" w:cstheme="minorHAnsi"/>
                <w:b/>
                <w:bCs/>
                <w:color w:val="000000"/>
                <w:sz w:val="20"/>
                <w:szCs w:val="20"/>
              </w:rPr>
            </w:pPr>
            <w:r w:rsidRPr="009640EE">
              <w:rPr>
                <w:rFonts w:eastAsia="Times New Roman" w:cstheme="minorHAnsi"/>
                <w:b/>
                <w:bCs/>
                <w:color w:val="000000"/>
                <w:sz w:val="20"/>
                <w:szCs w:val="20"/>
              </w:rPr>
              <w:t>Overall Achievement</w:t>
            </w:r>
          </w:p>
        </w:tc>
      </w:tr>
      <w:tr w:rsidR="009640EE" w:rsidRPr="009640EE" w:rsidTr="009640EE">
        <w:trPr>
          <w:trHeight w:val="315"/>
        </w:trPr>
        <w:tc>
          <w:tcPr>
            <w:tcW w:w="2164" w:type="dxa"/>
            <w:tcBorders>
              <w:top w:val="nil"/>
              <w:left w:val="nil"/>
              <w:bottom w:val="nil"/>
              <w:right w:val="nil"/>
            </w:tcBorders>
            <w:shd w:val="clear" w:color="auto" w:fill="auto"/>
            <w:noWrap/>
            <w:vAlign w:val="center"/>
            <w:hideMark/>
          </w:tcPr>
          <w:p w:rsidR="009640EE" w:rsidRPr="009640EE" w:rsidRDefault="009640EE" w:rsidP="009640EE">
            <w:pPr>
              <w:spacing w:after="0" w:line="240" w:lineRule="auto"/>
              <w:rPr>
                <w:rFonts w:eastAsia="Times New Roman" w:cstheme="minorHAnsi"/>
                <w:b/>
                <w:color w:val="000000"/>
                <w:sz w:val="20"/>
                <w:szCs w:val="20"/>
              </w:rPr>
            </w:pPr>
            <w:r w:rsidRPr="009640EE">
              <w:rPr>
                <w:rFonts w:eastAsia="Times New Roman" w:cstheme="minorHAnsi"/>
                <w:b/>
                <w:color w:val="000000"/>
                <w:sz w:val="20"/>
                <w:szCs w:val="20"/>
              </w:rPr>
              <w:t>LU Derby</w:t>
            </w:r>
          </w:p>
        </w:tc>
        <w:tc>
          <w:tcPr>
            <w:tcW w:w="1418" w:type="dxa"/>
            <w:tcBorders>
              <w:top w:val="nil"/>
              <w:left w:val="nil"/>
              <w:bottom w:val="nil"/>
              <w:right w:val="nil"/>
            </w:tcBorders>
            <w:shd w:val="clear" w:color="auto" w:fill="auto"/>
            <w:noWrap/>
            <w:vAlign w:val="center"/>
            <w:hideMark/>
          </w:tcPr>
          <w:p w:rsidR="009640EE" w:rsidRPr="009640EE" w:rsidRDefault="009640EE" w:rsidP="009640EE">
            <w:pPr>
              <w:spacing w:after="0" w:line="240" w:lineRule="auto"/>
              <w:rPr>
                <w:rFonts w:eastAsia="Times New Roman" w:cstheme="minorHAnsi"/>
                <w:color w:val="000000"/>
                <w:sz w:val="20"/>
                <w:szCs w:val="20"/>
              </w:rPr>
            </w:pPr>
          </w:p>
        </w:tc>
        <w:tc>
          <w:tcPr>
            <w:tcW w:w="1417" w:type="dxa"/>
            <w:tcBorders>
              <w:top w:val="single" w:sz="4" w:space="0" w:color="auto"/>
              <w:left w:val="single" w:sz="8" w:space="0" w:color="auto"/>
              <w:bottom w:val="single" w:sz="8" w:space="0" w:color="auto"/>
              <w:right w:val="single" w:sz="8" w:space="0" w:color="auto"/>
            </w:tcBorders>
            <w:shd w:val="clear" w:color="auto" w:fill="B8CCE4" w:themeFill="accent1" w:themeFillTint="66"/>
            <w:noWrap/>
            <w:vAlign w:val="center"/>
            <w:hideMark/>
          </w:tcPr>
          <w:p w:rsidR="009640EE" w:rsidRPr="009640EE" w:rsidRDefault="009640EE" w:rsidP="009640EE">
            <w:pPr>
              <w:spacing w:after="0" w:line="240" w:lineRule="auto"/>
              <w:jc w:val="center"/>
              <w:rPr>
                <w:rFonts w:eastAsia="Times New Roman" w:cstheme="minorHAnsi"/>
                <w:b/>
                <w:bCs/>
                <w:color w:val="000000"/>
                <w:sz w:val="20"/>
                <w:szCs w:val="20"/>
              </w:rPr>
            </w:pPr>
            <w:r w:rsidRPr="009640EE">
              <w:rPr>
                <w:rFonts w:eastAsia="Times New Roman" w:cstheme="minorHAnsi"/>
                <w:b/>
                <w:bCs/>
                <w:color w:val="000000"/>
                <w:sz w:val="20"/>
                <w:szCs w:val="20"/>
              </w:rPr>
              <w:t>2015/16</w:t>
            </w:r>
          </w:p>
        </w:tc>
        <w:tc>
          <w:tcPr>
            <w:tcW w:w="1417" w:type="dxa"/>
            <w:tcBorders>
              <w:top w:val="single" w:sz="8" w:space="0" w:color="auto"/>
              <w:left w:val="nil"/>
              <w:bottom w:val="single" w:sz="8" w:space="0" w:color="auto"/>
              <w:right w:val="single" w:sz="8" w:space="0" w:color="auto"/>
            </w:tcBorders>
            <w:shd w:val="clear" w:color="auto" w:fill="B8CCE4" w:themeFill="accent1" w:themeFillTint="66"/>
            <w:noWrap/>
            <w:vAlign w:val="center"/>
            <w:hideMark/>
          </w:tcPr>
          <w:p w:rsidR="009640EE" w:rsidRPr="009640EE" w:rsidRDefault="009640EE" w:rsidP="009640EE">
            <w:pPr>
              <w:spacing w:after="0" w:line="240" w:lineRule="auto"/>
              <w:jc w:val="center"/>
              <w:rPr>
                <w:rFonts w:eastAsia="Times New Roman" w:cstheme="minorHAnsi"/>
                <w:b/>
                <w:bCs/>
                <w:color w:val="000000"/>
                <w:sz w:val="20"/>
                <w:szCs w:val="20"/>
              </w:rPr>
            </w:pPr>
            <w:r w:rsidRPr="009640EE">
              <w:rPr>
                <w:rFonts w:eastAsia="Times New Roman" w:cstheme="minorHAnsi"/>
                <w:b/>
                <w:bCs/>
                <w:color w:val="000000"/>
                <w:sz w:val="20"/>
                <w:szCs w:val="20"/>
              </w:rPr>
              <w:t>2016/17</w:t>
            </w:r>
          </w:p>
        </w:tc>
        <w:tc>
          <w:tcPr>
            <w:tcW w:w="1417" w:type="dxa"/>
            <w:tcBorders>
              <w:top w:val="single" w:sz="8" w:space="0" w:color="auto"/>
              <w:left w:val="nil"/>
              <w:bottom w:val="single" w:sz="8" w:space="0" w:color="auto"/>
              <w:right w:val="single" w:sz="8" w:space="0" w:color="auto"/>
            </w:tcBorders>
            <w:shd w:val="clear" w:color="000000" w:fill="D9D9D9"/>
            <w:noWrap/>
            <w:vAlign w:val="center"/>
            <w:hideMark/>
          </w:tcPr>
          <w:p w:rsidR="009640EE" w:rsidRPr="009640EE" w:rsidRDefault="009640EE" w:rsidP="009640EE">
            <w:pPr>
              <w:spacing w:after="0" w:line="240" w:lineRule="auto"/>
              <w:jc w:val="center"/>
              <w:rPr>
                <w:rFonts w:eastAsia="Times New Roman" w:cstheme="minorHAnsi"/>
                <w:b/>
                <w:bCs/>
                <w:color w:val="000000"/>
                <w:sz w:val="20"/>
                <w:szCs w:val="20"/>
              </w:rPr>
            </w:pPr>
            <w:r w:rsidRPr="009640EE">
              <w:rPr>
                <w:rFonts w:eastAsia="Times New Roman" w:cstheme="minorHAnsi"/>
                <w:b/>
                <w:bCs/>
                <w:color w:val="000000"/>
                <w:sz w:val="20"/>
                <w:szCs w:val="20"/>
              </w:rPr>
              <w:t>PPA</w:t>
            </w:r>
          </w:p>
        </w:tc>
        <w:tc>
          <w:tcPr>
            <w:tcW w:w="1418" w:type="dxa"/>
            <w:tcBorders>
              <w:top w:val="single" w:sz="8" w:space="0" w:color="auto"/>
              <w:left w:val="nil"/>
              <w:bottom w:val="single" w:sz="8" w:space="0" w:color="auto"/>
              <w:right w:val="single" w:sz="8" w:space="0" w:color="auto"/>
            </w:tcBorders>
            <w:shd w:val="clear" w:color="auto" w:fill="B8CCE4" w:themeFill="accent1" w:themeFillTint="66"/>
            <w:noWrap/>
            <w:vAlign w:val="center"/>
            <w:hideMark/>
          </w:tcPr>
          <w:p w:rsidR="009640EE" w:rsidRPr="009640EE" w:rsidRDefault="009640EE" w:rsidP="009640EE">
            <w:pPr>
              <w:spacing w:after="0" w:line="240" w:lineRule="auto"/>
              <w:jc w:val="center"/>
              <w:rPr>
                <w:rFonts w:eastAsia="Times New Roman" w:cstheme="minorHAnsi"/>
                <w:b/>
                <w:bCs/>
                <w:color w:val="000000"/>
                <w:sz w:val="20"/>
                <w:szCs w:val="20"/>
              </w:rPr>
            </w:pPr>
            <w:r w:rsidRPr="009640EE">
              <w:rPr>
                <w:rFonts w:eastAsia="Times New Roman" w:cstheme="minorHAnsi"/>
                <w:b/>
                <w:bCs/>
                <w:color w:val="000000"/>
                <w:sz w:val="20"/>
                <w:szCs w:val="20"/>
              </w:rPr>
              <w:t>2017/18</w:t>
            </w:r>
          </w:p>
        </w:tc>
      </w:tr>
      <w:tr w:rsidR="009640EE" w:rsidRPr="009640EE" w:rsidTr="009640EE">
        <w:trPr>
          <w:trHeight w:val="315"/>
        </w:trPr>
        <w:tc>
          <w:tcPr>
            <w:tcW w:w="216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640EE" w:rsidRPr="009640EE" w:rsidRDefault="009640EE" w:rsidP="009640EE">
            <w:pPr>
              <w:spacing w:after="0" w:line="240" w:lineRule="auto"/>
              <w:rPr>
                <w:rFonts w:eastAsia="Times New Roman" w:cstheme="minorHAnsi"/>
                <w:b/>
                <w:color w:val="000000"/>
                <w:sz w:val="20"/>
                <w:szCs w:val="20"/>
              </w:rPr>
            </w:pPr>
            <w:r w:rsidRPr="009640EE">
              <w:rPr>
                <w:rFonts w:eastAsia="Times New Roman" w:cstheme="minorHAnsi"/>
                <w:b/>
                <w:color w:val="000000"/>
                <w:sz w:val="20"/>
                <w:szCs w:val="20"/>
              </w:rPr>
              <w:t>No LLDD</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9640EE" w:rsidRPr="009640EE" w:rsidRDefault="009640EE" w:rsidP="009640EE">
            <w:pPr>
              <w:spacing w:after="0" w:line="240" w:lineRule="auto"/>
              <w:rPr>
                <w:rFonts w:eastAsia="Times New Roman" w:cstheme="minorHAnsi"/>
                <w:color w:val="000000"/>
                <w:sz w:val="20"/>
                <w:szCs w:val="20"/>
              </w:rPr>
            </w:pPr>
            <w:r w:rsidRPr="009640EE">
              <w:rPr>
                <w:rFonts w:eastAsia="Times New Roman" w:cstheme="minorHAnsi"/>
                <w:color w:val="000000"/>
                <w:sz w:val="20"/>
                <w:szCs w:val="20"/>
              </w:rPr>
              <w:t>Leavers</w:t>
            </w:r>
          </w:p>
        </w:tc>
        <w:tc>
          <w:tcPr>
            <w:tcW w:w="1417" w:type="dxa"/>
            <w:tcBorders>
              <w:top w:val="nil"/>
              <w:left w:val="nil"/>
              <w:bottom w:val="single" w:sz="8" w:space="0" w:color="auto"/>
              <w:right w:val="single" w:sz="8" w:space="0" w:color="auto"/>
            </w:tcBorders>
            <w:shd w:val="clear" w:color="auto" w:fill="auto"/>
            <w:noWrap/>
            <w:vAlign w:val="bottom"/>
          </w:tcPr>
          <w:p w:rsidR="009640EE" w:rsidRPr="009640EE" w:rsidRDefault="009640EE" w:rsidP="009640EE">
            <w:pPr>
              <w:spacing w:after="0" w:line="240" w:lineRule="auto"/>
              <w:jc w:val="center"/>
              <w:rPr>
                <w:rFonts w:ascii="Calibri" w:hAnsi="Calibri"/>
                <w:sz w:val="24"/>
                <w:szCs w:val="24"/>
              </w:rPr>
            </w:pPr>
            <w:r w:rsidRPr="009640EE">
              <w:rPr>
                <w:rFonts w:ascii="Calibri" w:hAnsi="Calibri"/>
              </w:rPr>
              <w:t>190</w:t>
            </w:r>
          </w:p>
        </w:tc>
        <w:tc>
          <w:tcPr>
            <w:tcW w:w="1417" w:type="dxa"/>
            <w:tcBorders>
              <w:top w:val="single" w:sz="8" w:space="0" w:color="auto"/>
              <w:left w:val="nil"/>
              <w:bottom w:val="single" w:sz="8" w:space="0" w:color="auto"/>
              <w:right w:val="single" w:sz="8" w:space="0" w:color="auto"/>
            </w:tcBorders>
            <w:shd w:val="clear" w:color="auto" w:fill="auto"/>
            <w:noWrap/>
            <w:vAlign w:val="bottom"/>
          </w:tcPr>
          <w:p w:rsidR="009640EE" w:rsidRPr="009640EE" w:rsidRDefault="009640EE" w:rsidP="009640EE">
            <w:pPr>
              <w:spacing w:after="0" w:line="240" w:lineRule="auto"/>
              <w:jc w:val="center"/>
              <w:rPr>
                <w:rFonts w:ascii="Calibri" w:hAnsi="Calibri"/>
                <w:sz w:val="24"/>
                <w:szCs w:val="24"/>
              </w:rPr>
            </w:pPr>
            <w:r w:rsidRPr="009640EE">
              <w:rPr>
                <w:rFonts w:ascii="Calibri" w:hAnsi="Calibri"/>
              </w:rPr>
              <w:t>208</w:t>
            </w:r>
          </w:p>
        </w:tc>
        <w:tc>
          <w:tcPr>
            <w:tcW w:w="1417" w:type="dxa"/>
            <w:tcBorders>
              <w:top w:val="single" w:sz="8" w:space="0" w:color="auto"/>
              <w:left w:val="nil"/>
              <w:bottom w:val="single" w:sz="8" w:space="0" w:color="auto"/>
              <w:right w:val="single" w:sz="8" w:space="0" w:color="auto"/>
            </w:tcBorders>
            <w:shd w:val="clear" w:color="000000" w:fill="D9D9D9"/>
            <w:noWrap/>
            <w:vAlign w:val="bottom"/>
          </w:tcPr>
          <w:p w:rsidR="009640EE" w:rsidRPr="009640EE" w:rsidRDefault="009640EE" w:rsidP="009640EE">
            <w:pPr>
              <w:spacing w:after="0" w:line="240" w:lineRule="auto"/>
              <w:jc w:val="center"/>
              <w:rPr>
                <w:rFonts w:ascii="Calibri" w:hAnsi="Calibri"/>
                <w:color w:val="000000"/>
                <w:sz w:val="24"/>
                <w:szCs w:val="24"/>
              </w:rPr>
            </w:pPr>
            <w:r w:rsidRPr="009640EE">
              <w:rPr>
                <w:rFonts w:ascii="Calibri" w:hAnsi="Calibri"/>
                <w:color w:val="000000"/>
              </w:rPr>
              <w:t> </w:t>
            </w:r>
          </w:p>
        </w:tc>
        <w:tc>
          <w:tcPr>
            <w:tcW w:w="1418" w:type="dxa"/>
            <w:tcBorders>
              <w:top w:val="single" w:sz="8" w:space="0" w:color="auto"/>
              <w:left w:val="nil"/>
              <w:bottom w:val="single" w:sz="8" w:space="0" w:color="auto"/>
              <w:right w:val="single" w:sz="8" w:space="0" w:color="auto"/>
            </w:tcBorders>
            <w:shd w:val="clear" w:color="auto" w:fill="auto"/>
            <w:noWrap/>
            <w:vAlign w:val="bottom"/>
          </w:tcPr>
          <w:p w:rsidR="009640EE" w:rsidRPr="009640EE" w:rsidRDefault="009640EE" w:rsidP="009417E7">
            <w:pPr>
              <w:spacing w:after="0" w:line="240" w:lineRule="auto"/>
              <w:jc w:val="center"/>
              <w:rPr>
                <w:rFonts w:ascii="Calibri" w:hAnsi="Calibri"/>
                <w:sz w:val="24"/>
                <w:szCs w:val="24"/>
              </w:rPr>
            </w:pPr>
            <w:r w:rsidRPr="009640EE">
              <w:rPr>
                <w:rFonts w:ascii="Calibri" w:hAnsi="Calibri"/>
              </w:rPr>
              <w:t>23</w:t>
            </w:r>
            <w:r w:rsidR="009417E7">
              <w:rPr>
                <w:rFonts w:ascii="Calibri" w:hAnsi="Calibri"/>
              </w:rPr>
              <w:t>6</w:t>
            </w:r>
          </w:p>
        </w:tc>
      </w:tr>
      <w:tr w:rsidR="009640EE" w:rsidRPr="009640EE" w:rsidTr="009640EE">
        <w:trPr>
          <w:trHeight w:val="315"/>
        </w:trPr>
        <w:tc>
          <w:tcPr>
            <w:tcW w:w="2164" w:type="dxa"/>
            <w:vMerge/>
            <w:tcBorders>
              <w:top w:val="single" w:sz="8" w:space="0" w:color="auto"/>
              <w:left w:val="single" w:sz="8" w:space="0" w:color="auto"/>
              <w:bottom w:val="single" w:sz="8" w:space="0" w:color="000000"/>
              <w:right w:val="single" w:sz="8" w:space="0" w:color="auto"/>
            </w:tcBorders>
            <w:vAlign w:val="center"/>
            <w:hideMark/>
          </w:tcPr>
          <w:p w:rsidR="009640EE" w:rsidRPr="009640EE" w:rsidRDefault="009640EE" w:rsidP="009640EE">
            <w:pPr>
              <w:spacing w:after="0" w:line="240" w:lineRule="auto"/>
              <w:rPr>
                <w:rFonts w:eastAsia="Times New Roman" w:cstheme="minorHAnsi"/>
                <w:b/>
                <w:color w:val="000000"/>
                <w:sz w:val="20"/>
                <w:szCs w:val="20"/>
              </w:rPr>
            </w:pPr>
          </w:p>
        </w:tc>
        <w:tc>
          <w:tcPr>
            <w:tcW w:w="1418" w:type="dxa"/>
            <w:tcBorders>
              <w:top w:val="nil"/>
              <w:left w:val="nil"/>
              <w:bottom w:val="single" w:sz="8" w:space="0" w:color="auto"/>
              <w:right w:val="single" w:sz="8" w:space="0" w:color="auto"/>
            </w:tcBorders>
            <w:shd w:val="clear" w:color="auto" w:fill="auto"/>
            <w:vAlign w:val="center"/>
            <w:hideMark/>
          </w:tcPr>
          <w:p w:rsidR="009640EE" w:rsidRPr="009640EE" w:rsidRDefault="009640EE" w:rsidP="009640EE">
            <w:pPr>
              <w:spacing w:after="0" w:line="240" w:lineRule="auto"/>
              <w:rPr>
                <w:rFonts w:eastAsia="Times New Roman" w:cstheme="minorHAnsi"/>
                <w:color w:val="000000"/>
                <w:sz w:val="20"/>
                <w:szCs w:val="20"/>
              </w:rPr>
            </w:pPr>
            <w:r w:rsidRPr="009640EE">
              <w:rPr>
                <w:rFonts w:eastAsia="Times New Roman" w:cstheme="minorHAnsi"/>
                <w:color w:val="000000"/>
                <w:sz w:val="20"/>
                <w:szCs w:val="20"/>
              </w:rPr>
              <w:t>Achievement</w:t>
            </w:r>
          </w:p>
        </w:tc>
        <w:tc>
          <w:tcPr>
            <w:tcW w:w="1417" w:type="dxa"/>
            <w:tcBorders>
              <w:top w:val="nil"/>
              <w:left w:val="nil"/>
              <w:bottom w:val="single" w:sz="8" w:space="0" w:color="auto"/>
              <w:right w:val="single" w:sz="8" w:space="0" w:color="auto"/>
            </w:tcBorders>
            <w:shd w:val="clear" w:color="auto" w:fill="auto"/>
            <w:noWrap/>
          </w:tcPr>
          <w:p w:rsidR="009640EE" w:rsidRPr="009640EE" w:rsidRDefault="009640EE" w:rsidP="009640EE">
            <w:pPr>
              <w:spacing w:after="0" w:line="240" w:lineRule="auto"/>
              <w:jc w:val="center"/>
            </w:pPr>
            <w:r w:rsidRPr="009640EE">
              <w:t>83.7%</w:t>
            </w:r>
          </w:p>
        </w:tc>
        <w:tc>
          <w:tcPr>
            <w:tcW w:w="1417" w:type="dxa"/>
            <w:tcBorders>
              <w:top w:val="single" w:sz="8" w:space="0" w:color="auto"/>
              <w:left w:val="nil"/>
              <w:bottom w:val="single" w:sz="8" w:space="0" w:color="auto"/>
              <w:right w:val="single" w:sz="8" w:space="0" w:color="auto"/>
            </w:tcBorders>
            <w:shd w:val="clear" w:color="auto" w:fill="auto"/>
            <w:noWrap/>
          </w:tcPr>
          <w:p w:rsidR="009640EE" w:rsidRPr="009640EE" w:rsidRDefault="009640EE" w:rsidP="009640EE">
            <w:pPr>
              <w:spacing w:after="0" w:line="240" w:lineRule="auto"/>
              <w:jc w:val="center"/>
            </w:pPr>
            <w:r w:rsidRPr="009640EE">
              <w:t>84.6%</w:t>
            </w:r>
          </w:p>
        </w:tc>
        <w:tc>
          <w:tcPr>
            <w:tcW w:w="1417" w:type="dxa"/>
            <w:tcBorders>
              <w:top w:val="single" w:sz="8" w:space="0" w:color="auto"/>
              <w:left w:val="nil"/>
              <w:bottom w:val="single" w:sz="8" w:space="0" w:color="auto"/>
              <w:right w:val="single" w:sz="8" w:space="0" w:color="auto"/>
            </w:tcBorders>
            <w:shd w:val="clear" w:color="000000" w:fill="D9D9D9"/>
            <w:noWrap/>
          </w:tcPr>
          <w:p w:rsidR="009640EE" w:rsidRPr="009640EE" w:rsidRDefault="009640EE" w:rsidP="009640EE">
            <w:pPr>
              <w:spacing w:after="0" w:line="240" w:lineRule="auto"/>
              <w:jc w:val="center"/>
            </w:pPr>
            <w:r w:rsidRPr="009640EE">
              <w:t>66.3%</w:t>
            </w:r>
          </w:p>
        </w:tc>
        <w:tc>
          <w:tcPr>
            <w:tcW w:w="1418" w:type="dxa"/>
            <w:tcBorders>
              <w:top w:val="single" w:sz="8" w:space="0" w:color="auto"/>
              <w:left w:val="nil"/>
              <w:bottom w:val="single" w:sz="8" w:space="0" w:color="auto"/>
              <w:right w:val="single" w:sz="8" w:space="0" w:color="auto"/>
            </w:tcBorders>
            <w:shd w:val="clear" w:color="auto" w:fill="auto"/>
            <w:noWrap/>
          </w:tcPr>
          <w:p w:rsidR="009640EE" w:rsidRPr="009640EE" w:rsidRDefault="009640EE" w:rsidP="009417E7">
            <w:pPr>
              <w:spacing w:after="0" w:line="240" w:lineRule="auto"/>
              <w:jc w:val="center"/>
            </w:pPr>
            <w:r w:rsidRPr="009640EE">
              <w:t>79.</w:t>
            </w:r>
            <w:r w:rsidR="009417E7">
              <w:t>2</w:t>
            </w:r>
            <w:r w:rsidRPr="009640EE">
              <w:t>%</w:t>
            </w:r>
          </w:p>
        </w:tc>
      </w:tr>
      <w:tr w:rsidR="009640EE" w:rsidRPr="009640EE" w:rsidTr="009640EE">
        <w:trPr>
          <w:trHeight w:val="315"/>
        </w:trPr>
        <w:tc>
          <w:tcPr>
            <w:tcW w:w="216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640EE" w:rsidRPr="009640EE" w:rsidRDefault="009640EE" w:rsidP="009640EE">
            <w:pPr>
              <w:spacing w:after="0" w:line="240" w:lineRule="auto"/>
              <w:rPr>
                <w:rFonts w:eastAsia="Times New Roman" w:cstheme="minorHAnsi"/>
                <w:b/>
                <w:color w:val="000000"/>
                <w:sz w:val="20"/>
                <w:szCs w:val="20"/>
              </w:rPr>
            </w:pPr>
            <w:r w:rsidRPr="009640EE">
              <w:rPr>
                <w:rFonts w:eastAsia="Times New Roman" w:cstheme="minorHAnsi"/>
                <w:b/>
                <w:color w:val="000000"/>
                <w:sz w:val="20"/>
                <w:szCs w:val="20"/>
              </w:rPr>
              <w:t>Declared LLDD</w:t>
            </w:r>
          </w:p>
        </w:tc>
        <w:tc>
          <w:tcPr>
            <w:tcW w:w="1418" w:type="dxa"/>
            <w:tcBorders>
              <w:top w:val="nil"/>
              <w:left w:val="nil"/>
              <w:bottom w:val="single" w:sz="8" w:space="0" w:color="auto"/>
              <w:right w:val="single" w:sz="8" w:space="0" w:color="auto"/>
            </w:tcBorders>
            <w:shd w:val="clear" w:color="auto" w:fill="auto"/>
            <w:noWrap/>
            <w:vAlign w:val="center"/>
            <w:hideMark/>
          </w:tcPr>
          <w:p w:rsidR="009640EE" w:rsidRPr="009640EE" w:rsidRDefault="009640EE" w:rsidP="009640EE">
            <w:pPr>
              <w:spacing w:after="0" w:line="240" w:lineRule="auto"/>
              <w:rPr>
                <w:rFonts w:eastAsia="Times New Roman" w:cstheme="minorHAnsi"/>
                <w:color w:val="000000"/>
                <w:sz w:val="20"/>
                <w:szCs w:val="20"/>
              </w:rPr>
            </w:pPr>
            <w:r w:rsidRPr="009640EE">
              <w:rPr>
                <w:rFonts w:eastAsia="Times New Roman" w:cstheme="minorHAnsi"/>
                <w:color w:val="000000"/>
                <w:sz w:val="20"/>
                <w:szCs w:val="20"/>
              </w:rPr>
              <w:t>Leavers</w:t>
            </w:r>
          </w:p>
        </w:tc>
        <w:tc>
          <w:tcPr>
            <w:tcW w:w="1417" w:type="dxa"/>
            <w:tcBorders>
              <w:top w:val="nil"/>
              <w:left w:val="nil"/>
              <w:bottom w:val="single" w:sz="8" w:space="0" w:color="auto"/>
              <w:right w:val="single" w:sz="8" w:space="0" w:color="auto"/>
            </w:tcBorders>
            <w:shd w:val="clear" w:color="auto" w:fill="auto"/>
            <w:noWrap/>
            <w:vAlign w:val="bottom"/>
          </w:tcPr>
          <w:p w:rsidR="009640EE" w:rsidRPr="009640EE" w:rsidRDefault="009640EE" w:rsidP="009640EE">
            <w:pPr>
              <w:spacing w:after="0" w:line="240" w:lineRule="auto"/>
              <w:jc w:val="center"/>
              <w:rPr>
                <w:rFonts w:ascii="Calibri" w:hAnsi="Calibri"/>
                <w:sz w:val="24"/>
                <w:szCs w:val="24"/>
              </w:rPr>
            </w:pPr>
            <w:r w:rsidRPr="009640EE">
              <w:rPr>
                <w:rFonts w:ascii="Calibri" w:hAnsi="Calibri"/>
              </w:rPr>
              <w:t>14</w:t>
            </w:r>
          </w:p>
        </w:tc>
        <w:tc>
          <w:tcPr>
            <w:tcW w:w="1417" w:type="dxa"/>
            <w:tcBorders>
              <w:top w:val="nil"/>
              <w:left w:val="nil"/>
              <w:bottom w:val="single" w:sz="8" w:space="0" w:color="auto"/>
              <w:right w:val="single" w:sz="8" w:space="0" w:color="auto"/>
            </w:tcBorders>
            <w:shd w:val="clear" w:color="auto" w:fill="auto"/>
            <w:noWrap/>
            <w:vAlign w:val="bottom"/>
          </w:tcPr>
          <w:p w:rsidR="009640EE" w:rsidRPr="009640EE" w:rsidRDefault="009640EE" w:rsidP="009640EE">
            <w:pPr>
              <w:spacing w:after="0" w:line="240" w:lineRule="auto"/>
              <w:jc w:val="center"/>
              <w:rPr>
                <w:rFonts w:ascii="Calibri" w:hAnsi="Calibri"/>
                <w:sz w:val="24"/>
                <w:szCs w:val="24"/>
              </w:rPr>
            </w:pPr>
            <w:r w:rsidRPr="009640EE">
              <w:rPr>
                <w:rFonts w:ascii="Calibri" w:hAnsi="Calibri"/>
              </w:rPr>
              <w:t>17</w:t>
            </w:r>
          </w:p>
        </w:tc>
        <w:tc>
          <w:tcPr>
            <w:tcW w:w="1417" w:type="dxa"/>
            <w:tcBorders>
              <w:top w:val="nil"/>
              <w:left w:val="nil"/>
              <w:bottom w:val="single" w:sz="8" w:space="0" w:color="auto"/>
              <w:right w:val="single" w:sz="8" w:space="0" w:color="auto"/>
            </w:tcBorders>
            <w:shd w:val="clear" w:color="000000" w:fill="D9D9D9"/>
            <w:noWrap/>
            <w:vAlign w:val="bottom"/>
          </w:tcPr>
          <w:p w:rsidR="009640EE" w:rsidRPr="009640EE" w:rsidRDefault="009640EE" w:rsidP="009640EE">
            <w:pPr>
              <w:spacing w:after="0" w:line="240" w:lineRule="auto"/>
              <w:jc w:val="center"/>
              <w:rPr>
                <w:rFonts w:ascii="Calibri" w:hAnsi="Calibri"/>
                <w:color w:val="000000"/>
                <w:sz w:val="24"/>
                <w:szCs w:val="24"/>
              </w:rPr>
            </w:pPr>
            <w:r w:rsidRPr="009640EE">
              <w:rPr>
                <w:rFonts w:ascii="Calibri" w:hAnsi="Calibri"/>
                <w:color w:val="000000"/>
              </w:rPr>
              <w:t> </w:t>
            </w:r>
          </w:p>
        </w:tc>
        <w:tc>
          <w:tcPr>
            <w:tcW w:w="1418" w:type="dxa"/>
            <w:tcBorders>
              <w:top w:val="nil"/>
              <w:left w:val="nil"/>
              <w:bottom w:val="single" w:sz="8" w:space="0" w:color="auto"/>
              <w:right w:val="single" w:sz="8" w:space="0" w:color="auto"/>
            </w:tcBorders>
            <w:shd w:val="clear" w:color="auto" w:fill="auto"/>
            <w:noWrap/>
            <w:vAlign w:val="bottom"/>
          </w:tcPr>
          <w:p w:rsidR="009640EE" w:rsidRPr="009640EE" w:rsidRDefault="009640EE" w:rsidP="009640EE">
            <w:pPr>
              <w:spacing w:after="0" w:line="240" w:lineRule="auto"/>
              <w:jc w:val="center"/>
              <w:rPr>
                <w:rFonts w:ascii="Calibri" w:hAnsi="Calibri"/>
                <w:sz w:val="24"/>
                <w:szCs w:val="24"/>
              </w:rPr>
            </w:pPr>
            <w:r w:rsidRPr="009640EE">
              <w:rPr>
                <w:rFonts w:ascii="Calibri" w:hAnsi="Calibri"/>
              </w:rPr>
              <w:t>15</w:t>
            </w:r>
          </w:p>
        </w:tc>
      </w:tr>
      <w:tr w:rsidR="009640EE" w:rsidRPr="009640EE" w:rsidTr="009640EE">
        <w:trPr>
          <w:trHeight w:val="315"/>
        </w:trPr>
        <w:tc>
          <w:tcPr>
            <w:tcW w:w="2164" w:type="dxa"/>
            <w:vMerge/>
            <w:tcBorders>
              <w:top w:val="nil"/>
              <w:left w:val="single" w:sz="8" w:space="0" w:color="auto"/>
              <w:bottom w:val="single" w:sz="8" w:space="0" w:color="000000"/>
              <w:right w:val="single" w:sz="8" w:space="0" w:color="auto"/>
            </w:tcBorders>
            <w:vAlign w:val="center"/>
            <w:hideMark/>
          </w:tcPr>
          <w:p w:rsidR="009640EE" w:rsidRPr="009640EE" w:rsidRDefault="009640EE" w:rsidP="009640EE">
            <w:pPr>
              <w:spacing w:after="0" w:line="240" w:lineRule="auto"/>
              <w:rPr>
                <w:rFonts w:eastAsia="Times New Roman" w:cstheme="minorHAnsi"/>
                <w:color w:val="000000"/>
                <w:sz w:val="20"/>
                <w:szCs w:val="20"/>
              </w:rPr>
            </w:pPr>
          </w:p>
        </w:tc>
        <w:tc>
          <w:tcPr>
            <w:tcW w:w="1418" w:type="dxa"/>
            <w:tcBorders>
              <w:top w:val="nil"/>
              <w:left w:val="nil"/>
              <w:bottom w:val="single" w:sz="8" w:space="0" w:color="auto"/>
              <w:right w:val="single" w:sz="8" w:space="0" w:color="auto"/>
            </w:tcBorders>
            <w:shd w:val="clear" w:color="auto" w:fill="auto"/>
            <w:noWrap/>
            <w:vAlign w:val="center"/>
            <w:hideMark/>
          </w:tcPr>
          <w:p w:rsidR="009640EE" w:rsidRPr="009640EE" w:rsidRDefault="009640EE" w:rsidP="009640EE">
            <w:pPr>
              <w:spacing w:after="0" w:line="240" w:lineRule="auto"/>
              <w:rPr>
                <w:rFonts w:eastAsia="Times New Roman" w:cstheme="minorHAnsi"/>
                <w:color w:val="000000"/>
                <w:sz w:val="20"/>
                <w:szCs w:val="20"/>
              </w:rPr>
            </w:pPr>
            <w:r w:rsidRPr="009640EE">
              <w:rPr>
                <w:rFonts w:eastAsia="Times New Roman" w:cstheme="minorHAnsi"/>
                <w:color w:val="000000"/>
                <w:sz w:val="20"/>
                <w:szCs w:val="20"/>
              </w:rPr>
              <w:t>Achievement</w:t>
            </w:r>
          </w:p>
        </w:tc>
        <w:tc>
          <w:tcPr>
            <w:tcW w:w="1417" w:type="dxa"/>
            <w:tcBorders>
              <w:top w:val="nil"/>
              <w:left w:val="nil"/>
              <w:bottom w:val="single" w:sz="8" w:space="0" w:color="auto"/>
              <w:right w:val="single" w:sz="8" w:space="0" w:color="auto"/>
            </w:tcBorders>
            <w:shd w:val="clear" w:color="auto" w:fill="auto"/>
            <w:noWrap/>
          </w:tcPr>
          <w:p w:rsidR="009640EE" w:rsidRPr="009640EE" w:rsidRDefault="009640EE" w:rsidP="009640EE">
            <w:pPr>
              <w:spacing w:after="0" w:line="240" w:lineRule="auto"/>
              <w:jc w:val="center"/>
            </w:pPr>
            <w:r w:rsidRPr="009640EE">
              <w:t>57.1%</w:t>
            </w:r>
          </w:p>
        </w:tc>
        <w:tc>
          <w:tcPr>
            <w:tcW w:w="1417" w:type="dxa"/>
            <w:tcBorders>
              <w:top w:val="nil"/>
              <w:left w:val="nil"/>
              <w:bottom w:val="single" w:sz="8" w:space="0" w:color="auto"/>
              <w:right w:val="single" w:sz="8" w:space="0" w:color="auto"/>
            </w:tcBorders>
            <w:shd w:val="clear" w:color="auto" w:fill="auto"/>
            <w:noWrap/>
          </w:tcPr>
          <w:p w:rsidR="009640EE" w:rsidRPr="009640EE" w:rsidRDefault="009640EE" w:rsidP="009640EE">
            <w:pPr>
              <w:spacing w:after="0" w:line="240" w:lineRule="auto"/>
              <w:jc w:val="center"/>
            </w:pPr>
            <w:r w:rsidRPr="009640EE">
              <w:t>88.2%</w:t>
            </w:r>
          </w:p>
        </w:tc>
        <w:tc>
          <w:tcPr>
            <w:tcW w:w="1417" w:type="dxa"/>
            <w:tcBorders>
              <w:top w:val="nil"/>
              <w:left w:val="nil"/>
              <w:bottom w:val="single" w:sz="8" w:space="0" w:color="auto"/>
              <w:right w:val="single" w:sz="8" w:space="0" w:color="auto"/>
            </w:tcBorders>
            <w:shd w:val="clear" w:color="000000" w:fill="D9D9D9"/>
            <w:noWrap/>
          </w:tcPr>
          <w:p w:rsidR="009640EE" w:rsidRPr="009640EE" w:rsidRDefault="009640EE" w:rsidP="009640EE">
            <w:pPr>
              <w:spacing w:after="0" w:line="240" w:lineRule="auto"/>
              <w:jc w:val="center"/>
            </w:pPr>
            <w:r w:rsidRPr="009640EE">
              <w:t>65.0%</w:t>
            </w:r>
          </w:p>
        </w:tc>
        <w:tc>
          <w:tcPr>
            <w:tcW w:w="1418" w:type="dxa"/>
            <w:tcBorders>
              <w:top w:val="nil"/>
              <w:left w:val="nil"/>
              <w:bottom w:val="single" w:sz="8" w:space="0" w:color="auto"/>
              <w:right w:val="single" w:sz="8" w:space="0" w:color="auto"/>
            </w:tcBorders>
            <w:shd w:val="clear" w:color="auto" w:fill="auto"/>
            <w:noWrap/>
          </w:tcPr>
          <w:p w:rsidR="009640EE" w:rsidRPr="009640EE" w:rsidRDefault="009640EE" w:rsidP="009640EE">
            <w:pPr>
              <w:spacing w:after="0" w:line="240" w:lineRule="auto"/>
              <w:jc w:val="center"/>
            </w:pPr>
            <w:r w:rsidRPr="009640EE">
              <w:t>86.7%</w:t>
            </w:r>
          </w:p>
        </w:tc>
      </w:tr>
      <w:tr w:rsidR="009640EE" w:rsidRPr="009640EE" w:rsidTr="009640EE">
        <w:trPr>
          <w:trHeight w:val="315"/>
        </w:trPr>
        <w:tc>
          <w:tcPr>
            <w:tcW w:w="2164" w:type="dxa"/>
            <w:tcBorders>
              <w:top w:val="nil"/>
              <w:left w:val="single" w:sz="8" w:space="0" w:color="auto"/>
              <w:bottom w:val="single" w:sz="8" w:space="0" w:color="auto"/>
              <w:right w:val="single" w:sz="8" w:space="0" w:color="auto"/>
            </w:tcBorders>
            <w:shd w:val="clear" w:color="auto" w:fill="B8CCE4" w:themeFill="accent1" w:themeFillTint="66"/>
            <w:noWrap/>
            <w:vAlign w:val="center"/>
            <w:hideMark/>
          </w:tcPr>
          <w:p w:rsidR="009640EE" w:rsidRPr="009640EE" w:rsidRDefault="009640EE" w:rsidP="009640EE">
            <w:pPr>
              <w:spacing w:after="0" w:line="240" w:lineRule="auto"/>
              <w:rPr>
                <w:rFonts w:eastAsia="Times New Roman" w:cstheme="minorHAnsi"/>
                <w:b/>
                <w:color w:val="000000"/>
                <w:sz w:val="20"/>
                <w:szCs w:val="20"/>
              </w:rPr>
            </w:pPr>
            <w:r w:rsidRPr="009640EE">
              <w:rPr>
                <w:rFonts w:eastAsia="Times New Roman" w:cstheme="minorHAnsi"/>
                <w:b/>
                <w:color w:val="000000"/>
                <w:sz w:val="20"/>
                <w:szCs w:val="20"/>
              </w:rPr>
              <w:t>Achievement Gap</w:t>
            </w:r>
          </w:p>
        </w:tc>
        <w:tc>
          <w:tcPr>
            <w:tcW w:w="1418" w:type="dxa"/>
            <w:tcBorders>
              <w:top w:val="nil"/>
              <w:left w:val="nil"/>
              <w:bottom w:val="single" w:sz="8" w:space="0" w:color="auto"/>
              <w:right w:val="single" w:sz="8" w:space="0" w:color="auto"/>
            </w:tcBorders>
            <w:shd w:val="clear" w:color="auto" w:fill="B8CCE4" w:themeFill="accent1" w:themeFillTint="66"/>
            <w:noWrap/>
            <w:vAlign w:val="center"/>
            <w:hideMark/>
          </w:tcPr>
          <w:p w:rsidR="009640EE" w:rsidRPr="009640EE" w:rsidRDefault="009640EE" w:rsidP="009640EE">
            <w:pPr>
              <w:spacing w:after="0" w:line="240" w:lineRule="auto"/>
              <w:rPr>
                <w:rFonts w:eastAsia="Times New Roman" w:cstheme="minorHAnsi"/>
                <w:color w:val="000000"/>
                <w:sz w:val="20"/>
                <w:szCs w:val="20"/>
              </w:rPr>
            </w:pPr>
            <w:r w:rsidRPr="009640EE">
              <w:rPr>
                <w:rFonts w:eastAsia="Times New Roman" w:cstheme="minorHAnsi"/>
                <w:color w:val="000000"/>
                <w:sz w:val="20"/>
                <w:szCs w:val="20"/>
              </w:rPr>
              <w:t> </w:t>
            </w:r>
          </w:p>
        </w:tc>
        <w:tc>
          <w:tcPr>
            <w:tcW w:w="1417" w:type="dxa"/>
            <w:tcBorders>
              <w:top w:val="nil"/>
              <w:left w:val="nil"/>
              <w:bottom w:val="single" w:sz="8" w:space="0" w:color="auto"/>
              <w:right w:val="single" w:sz="8" w:space="0" w:color="auto"/>
            </w:tcBorders>
            <w:shd w:val="clear" w:color="auto" w:fill="B8CCE4" w:themeFill="accent1" w:themeFillTint="66"/>
            <w:noWrap/>
          </w:tcPr>
          <w:p w:rsidR="009640EE" w:rsidRPr="009640EE" w:rsidRDefault="009640EE" w:rsidP="009640EE">
            <w:pPr>
              <w:spacing w:after="0" w:line="240" w:lineRule="auto"/>
              <w:jc w:val="center"/>
            </w:pPr>
            <w:r w:rsidRPr="009640EE">
              <w:t>26.6%</w:t>
            </w:r>
          </w:p>
        </w:tc>
        <w:tc>
          <w:tcPr>
            <w:tcW w:w="1417" w:type="dxa"/>
            <w:tcBorders>
              <w:top w:val="nil"/>
              <w:left w:val="nil"/>
              <w:bottom w:val="single" w:sz="8" w:space="0" w:color="auto"/>
              <w:right w:val="single" w:sz="8" w:space="0" w:color="auto"/>
            </w:tcBorders>
            <w:shd w:val="clear" w:color="auto" w:fill="B8CCE4" w:themeFill="accent1" w:themeFillTint="66"/>
            <w:noWrap/>
          </w:tcPr>
          <w:p w:rsidR="009640EE" w:rsidRPr="009640EE" w:rsidRDefault="009640EE" w:rsidP="009640EE">
            <w:pPr>
              <w:spacing w:after="0" w:line="240" w:lineRule="auto"/>
              <w:jc w:val="center"/>
            </w:pPr>
            <w:r w:rsidRPr="009640EE">
              <w:t>3.6%</w:t>
            </w:r>
          </w:p>
        </w:tc>
        <w:tc>
          <w:tcPr>
            <w:tcW w:w="1417" w:type="dxa"/>
            <w:tcBorders>
              <w:top w:val="nil"/>
              <w:left w:val="nil"/>
              <w:bottom w:val="single" w:sz="8" w:space="0" w:color="auto"/>
              <w:right w:val="single" w:sz="8" w:space="0" w:color="auto"/>
            </w:tcBorders>
            <w:shd w:val="clear" w:color="000000" w:fill="D9D9D9"/>
            <w:noWrap/>
          </w:tcPr>
          <w:p w:rsidR="009640EE" w:rsidRPr="009640EE" w:rsidRDefault="009640EE" w:rsidP="009640EE">
            <w:pPr>
              <w:spacing w:after="0" w:line="240" w:lineRule="auto"/>
              <w:jc w:val="center"/>
            </w:pPr>
            <w:r w:rsidRPr="009640EE">
              <w:t>1.3%</w:t>
            </w:r>
          </w:p>
        </w:tc>
        <w:tc>
          <w:tcPr>
            <w:tcW w:w="1418" w:type="dxa"/>
            <w:tcBorders>
              <w:top w:val="nil"/>
              <w:left w:val="nil"/>
              <w:bottom w:val="single" w:sz="8" w:space="0" w:color="auto"/>
              <w:right w:val="single" w:sz="8" w:space="0" w:color="auto"/>
            </w:tcBorders>
            <w:shd w:val="clear" w:color="auto" w:fill="B8CCE4" w:themeFill="accent1" w:themeFillTint="66"/>
            <w:noWrap/>
          </w:tcPr>
          <w:p w:rsidR="009640EE" w:rsidRPr="009640EE" w:rsidRDefault="009417E7" w:rsidP="009640EE">
            <w:pPr>
              <w:spacing w:after="0" w:line="240" w:lineRule="auto"/>
              <w:jc w:val="center"/>
            </w:pPr>
            <w:r>
              <w:t>7.4</w:t>
            </w:r>
            <w:r w:rsidR="009640EE" w:rsidRPr="009640EE">
              <w:t>%</w:t>
            </w:r>
          </w:p>
        </w:tc>
      </w:tr>
    </w:tbl>
    <w:p w:rsidR="009640EE" w:rsidRPr="009640EE" w:rsidRDefault="009640EE" w:rsidP="009640EE">
      <w:pPr>
        <w:spacing w:after="0" w:line="240" w:lineRule="auto"/>
        <w:rPr>
          <w:rFonts w:cstheme="minorHAnsi"/>
        </w:rPr>
      </w:pPr>
    </w:p>
    <w:p w:rsidR="009640EE" w:rsidRPr="009640EE" w:rsidRDefault="009640EE" w:rsidP="009640EE">
      <w:pPr>
        <w:spacing w:after="0" w:line="240" w:lineRule="auto"/>
        <w:rPr>
          <w:rFonts w:cstheme="minorHAnsi"/>
        </w:rPr>
      </w:pPr>
    </w:p>
    <w:p w:rsidR="009640EE" w:rsidRPr="009640EE" w:rsidRDefault="009640EE" w:rsidP="009640EE">
      <w:pPr>
        <w:spacing w:after="120" w:line="240" w:lineRule="auto"/>
      </w:pPr>
      <w:r w:rsidRPr="009640EE">
        <w:t xml:space="preserve">Although the gap has narrowed, we are committed to ensure no student is disadvantaged and all students are given the full support they need to succeed.  This is often harder for apprenticeships due to the nature of the provision, diverse delivery models and workplaces in which they learn.  To address these unique needs, we have recently introduced CognAssist, a nationally recognised assessment and support tool to identify support needs against a framework of eight cognitive processes, or neurodiversity domains, which then allows tailored supportive resources to be delivered to the student and integrated into their wider learning practice.  </w:t>
      </w:r>
    </w:p>
    <w:p w:rsidR="009640EE" w:rsidRDefault="009640EE">
      <w:pPr>
        <w:rPr>
          <w:noProof/>
          <w:lang w:eastAsia="en-GB"/>
        </w:rPr>
      </w:pPr>
    </w:p>
    <w:p w:rsidR="00DA0248" w:rsidRDefault="00DA0248" w:rsidP="00DA0248">
      <w:pPr>
        <w:shd w:val="clear" w:color="auto" w:fill="FFFFFF" w:themeFill="background1"/>
        <w:rPr>
          <w:rFonts w:cs="Arial"/>
          <w:b/>
          <w:u w:val="single"/>
        </w:rPr>
      </w:pPr>
    </w:p>
    <w:p w:rsidR="00DA0248" w:rsidRDefault="00DA0248" w:rsidP="00DA0248">
      <w:pPr>
        <w:shd w:val="clear" w:color="auto" w:fill="FFFFFF" w:themeFill="background1"/>
        <w:rPr>
          <w:rFonts w:cs="Arial"/>
          <w:b/>
          <w:u w:val="single"/>
        </w:rPr>
      </w:pPr>
    </w:p>
    <w:p w:rsidR="00DA0248" w:rsidRDefault="00DA0248" w:rsidP="00DA0248">
      <w:pPr>
        <w:shd w:val="clear" w:color="auto" w:fill="FFFFFF" w:themeFill="background1"/>
        <w:rPr>
          <w:rFonts w:cs="Arial"/>
          <w:b/>
          <w:u w:val="single"/>
        </w:rPr>
      </w:pPr>
    </w:p>
    <w:p w:rsidR="00DA0248" w:rsidRPr="00DA0248" w:rsidRDefault="00DA0248" w:rsidP="00DA0248">
      <w:pPr>
        <w:shd w:val="clear" w:color="auto" w:fill="FFFFFF" w:themeFill="background1"/>
        <w:rPr>
          <w:rFonts w:cs="Arial"/>
          <w:b/>
          <w:u w:val="single"/>
        </w:rPr>
      </w:pPr>
      <w:r>
        <w:rPr>
          <w:rFonts w:cs="Arial"/>
          <w:b/>
          <w:u w:val="single"/>
        </w:rPr>
        <w:t>Student</w:t>
      </w:r>
      <w:r w:rsidRPr="00DA0248">
        <w:rPr>
          <w:rFonts w:cs="Arial"/>
          <w:b/>
          <w:u w:val="single"/>
        </w:rPr>
        <w:t xml:space="preserve"> EDI Summary &amp; Actions</w:t>
      </w:r>
    </w:p>
    <w:p w:rsidR="00DA0248" w:rsidRDefault="00DA0248" w:rsidP="00DA0248">
      <w:pPr>
        <w:shd w:val="clear" w:color="auto" w:fill="FFFFFF" w:themeFill="background1"/>
        <w:rPr>
          <w:rFonts w:cs="Arial"/>
        </w:rPr>
      </w:pPr>
      <w:r>
        <w:rPr>
          <w:rFonts w:cs="Arial"/>
        </w:rPr>
        <w:t>The College’s student profile,</w:t>
      </w:r>
      <w:r w:rsidRPr="00DA0248">
        <w:rPr>
          <w:rFonts w:cs="Arial"/>
        </w:rPr>
        <w:t xml:space="preserve"> </w:t>
      </w:r>
      <w:r w:rsidRPr="00D860F7">
        <w:rPr>
          <w:rFonts w:cs="Arial"/>
        </w:rPr>
        <w:t>in terms of its diversity, continues to broadly reflect the local community we serve.</w:t>
      </w:r>
      <w:r>
        <w:rPr>
          <w:rFonts w:cs="Arial"/>
        </w:rPr>
        <w:t xml:space="preserve"> </w:t>
      </w:r>
      <w:r w:rsidRPr="00D860F7">
        <w:rPr>
          <w:rFonts w:cs="Arial"/>
        </w:rPr>
        <w:t xml:space="preserve">A range of analysis undertaken </w:t>
      </w:r>
      <w:r>
        <w:rPr>
          <w:rFonts w:cs="Arial"/>
        </w:rPr>
        <w:t xml:space="preserve">of both class based and apprenticeship provision </w:t>
      </w:r>
      <w:r w:rsidRPr="00D860F7">
        <w:rPr>
          <w:rFonts w:cs="Arial"/>
        </w:rPr>
        <w:t>inclu</w:t>
      </w:r>
      <w:r>
        <w:rPr>
          <w:rFonts w:cs="Arial"/>
        </w:rPr>
        <w:t xml:space="preserve">ding retention, achievement and progress measures, indicates that in the majority of cases there are minimal gaps between different groups of student performance. </w:t>
      </w:r>
    </w:p>
    <w:p w:rsidR="00F02B3A" w:rsidRDefault="00F02B3A" w:rsidP="00DA0248">
      <w:pPr>
        <w:shd w:val="clear" w:color="auto" w:fill="FFFFFF" w:themeFill="background1"/>
        <w:rPr>
          <w:rFonts w:cs="Arial"/>
        </w:rPr>
      </w:pPr>
      <w:r>
        <w:rPr>
          <w:rFonts w:cs="Arial"/>
        </w:rPr>
        <w:t xml:space="preserve">We will continue to monitor student performance carefully between different groups and investigate and address any emerging gaps. </w:t>
      </w:r>
    </w:p>
    <w:p w:rsidR="00F02B3A" w:rsidRDefault="00F02B3A" w:rsidP="00DA0248">
      <w:pPr>
        <w:shd w:val="clear" w:color="auto" w:fill="FFFFFF" w:themeFill="background1"/>
        <w:rPr>
          <w:rFonts w:cs="Arial"/>
        </w:rPr>
      </w:pPr>
      <w:r>
        <w:rPr>
          <w:rFonts w:cs="Arial"/>
        </w:rPr>
        <w:t xml:space="preserve">Adult class based achievement, whilst in line with that of 16-18 year olds has fallen below the national average, which is generally higher than the 16-18 age group. The majority of lower performing adult provision is liked to English and maths which is identified as an area for improvement in the College QIP. </w:t>
      </w:r>
    </w:p>
    <w:p w:rsidR="00AF514D" w:rsidRDefault="00AF514D" w:rsidP="00DA0248">
      <w:pPr>
        <w:shd w:val="clear" w:color="auto" w:fill="FFFFFF" w:themeFill="background1"/>
        <w:rPr>
          <w:rFonts w:cs="Arial"/>
        </w:rPr>
      </w:pPr>
      <w:r>
        <w:rPr>
          <w:rFonts w:cs="Arial"/>
        </w:rPr>
        <w:t xml:space="preserve">Whilst there are minimal gaps for students from disadvantaged areas and those with support needs, we are further developing our reporting and systems to enable us to identify students from particular areas and those accessing support services, including the Wellbeing hub. </w:t>
      </w:r>
    </w:p>
    <w:p w:rsidR="00AF514D" w:rsidRDefault="00AF514D" w:rsidP="00DA0248">
      <w:pPr>
        <w:shd w:val="clear" w:color="auto" w:fill="FFFFFF" w:themeFill="background1"/>
        <w:rPr>
          <w:rFonts w:cs="Arial"/>
        </w:rPr>
      </w:pPr>
      <w:r>
        <w:rPr>
          <w:rFonts w:cs="Arial"/>
        </w:rPr>
        <w:t xml:space="preserve">The College continues to work closely with Local authority and third party support agencies to ensure students with support needs and care leavers are fully supported whilst studying, </w:t>
      </w:r>
    </w:p>
    <w:p w:rsidR="00AF514D" w:rsidRDefault="00AF514D" w:rsidP="00DA0248">
      <w:pPr>
        <w:shd w:val="clear" w:color="auto" w:fill="FFFFFF" w:themeFill="background1"/>
        <w:rPr>
          <w:rFonts w:cs="Arial"/>
        </w:rPr>
      </w:pPr>
    </w:p>
    <w:p w:rsidR="00E52619" w:rsidRDefault="00E52619">
      <w:pPr>
        <w:rPr>
          <w:rFonts w:cs="Arial"/>
        </w:rPr>
      </w:pPr>
    </w:p>
    <w:p w:rsidR="00AF514D" w:rsidRDefault="00AF514D">
      <w:pPr>
        <w:rPr>
          <w:rFonts w:cs="Arial"/>
        </w:rPr>
      </w:pPr>
    </w:p>
    <w:p w:rsidR="00AF514D" w:rsidRDefault="00AF514D">
      <w:pPr>
        <w:rPr>
          <w:rFonts w:cs="Arial"/>
        </w:rPr>
      </w:pPr>
    </w:p>
    <w:p w:rsidR="00AF514D" w:rsidRDefault="00AF514D">
      <w:pPr>
        <w:rPr>
          <w:rFonts w:cs="Arial"/>
        </w:rPr>
      </w:pPr>
    </w:p>
    <w:p w:rsidR="00AF514D" w:rsidRDefault="00AF514D">
      <w:pPr>
        <w:rPr>
          <w:rFonts w:cs="Arial"/>
        </w:rPr>
      </w:pPr>
    </w:p>
    <w:p w:rsidR="00AF514D" w:rsidRDefault="00AF514D">
      <w:pPr>
        <w:rPr>
          <w:rFonts w:cs="Arial"/>
        </w:rPr>
      </w:pPr>
    </w:p>
    <w:p w:rsidR="00AF514D" w:rsidRDefault="00AF514D">
      <w:pPr>
        <w:rPr>
          <w:rFonts w:cs="Arial"/>
        </w:rPr>
      </w:pPr>
    </w:p>
    <w:p w:rsidR="00AF514D" w:rsidRDefault="00AF514D">
      <w:pPr>
        <w:rPr>
          <w:rFonts w:cs="Arial"/>
        </w:rPr>
      </w:pPr>
    </w:p>
    <w:p w:rsidR="00AF514D" w:rsidRDefault="00AF514D">
      <w:pPr>
        <w:rPr>
          <w:rFonts w:cs="Arial"/>
        </w:rPr>
      </w:pPr>
    </w:p>
    <w:p w:rsidR="00AF514D" w:rsidRDefault="00AF514D">
      <w:pPr>
        <w:rPr>
          <w:rFonts w:cs="Arial"/>
        </w:rPr>
      </w:pPr>
    </w:p>
    <w:p w:rsidR="00AF514D" w:rsidRDefault="00AF514D">
      <w:pPr>
        <w:rPr>
          <w:rFonts w:cs="Arial"/>
        </w:rPr>
      </w:pPr>
    </w:p>
    <w:p w:rsidR="00AF514D" w:rsidRDefault="00AF514D">
      <w:pPr>
        <w:rPr>
          <w:noProof/>
          <w:lang w:eastAsia="en-GB"/>
        </w:rPr>
      </w:pPr>
    </w:p>
    <w:p w:rsidR="006F0325" w:rsidRDefault="006F0325">
      <w:pPr>
        <w:rPr>
          <w:noProof/>
          <w:lang w:eastAsia="en-GB"/>
        </w:rPr>
      </w:pPr>
    </w:p>
    <w:p w:rsidR="00AF514D" w:rsidRDefault="00AF514D" w:rsidP="00AF514D">
      <w:pPr>
        <w:rPr>
          <w:noProof/>
          <w:lang w:eastAsia="en-GB"/>
        </w:rPr>
      </w:pPr>
    </w:p>
    <w:p w:rsidR="00EB2E3D" w:rsidRDefault="00E52619" w:rsidP="00AF514D">
      <w:pPr>
        <w:rPr>
          <w:noProof/>
          <w:lang w:eastAsia="en-GB"/>
        </w:rPr>
      </w:pPr>
      <w:r>
        <w:rPr>
          <w:noProof/>
          <w:lang w:eastAsia="en-GB"/>
        </w:rPr>
        <w:t>2</w:t>
      </w:r>
      <w:r w:rsidR="00EB2E3D" w:rsidRPr="001544F8">
        <w:rPr>
          <w:noProof/>
          <w:lang w:eastAsia="en-GB"/>
        </w:rPr>
        <w:t xml:space="preserve">. </w:t>
      </w:r>
      <w:r w:rsidR="006833F2">
        <w:rPr>
          <w:noProof/>
          <w:lang w:eastAsia="en-GB"/>
        </w:rPr>
        <w:tab/>
      </w:r>
      <w:r w:rsidRPr="00E52619">
        <w:rPr>
          <w:b/>
          <w:noProof/>
          <w:u w:val="single"/>
          <w:lang w:eastAsia="en-GB"/>
        </w:rPr>
        <w:t>Staff ED</w:t>
      </w:r>
      <w:r w:rsidR="006856CD">
        <w:rPr>
          <w:b/>
          <w:noProof/>
          <w:u w:val="single"/>
          <w:lang w:eastAsia="en-GB"/>
        </w:rPr>
        <w:t>I</w:t>
      </w:r>
      <w:r w:rsidRPr="00E52619">
        <w:rPr>
          <w:b/>
          <w:noProof/>
          <w:u w:val="single"/>
          <w:lang w:eastAsia="en-GB"/>
        </w:rPr>
        <w:t xml:space="preserve"> Profiling</w:t>
      </w:r>
    </w:p>
    <w:p w:rsidR="00EB2E3D" w:rsidRDefault="00EB2E3D" w:rsidP="00EB2E3D">
      <w:pPr>
        <w:rPr>
          <w:noProof/>
          <w:lang w:eastAsia="en-GB"/>
        </w:rPr>
      </w:pPr>
      <w:r>
        <w:rPr>
          <w:noProof/>
          <w:lang w:eastAsia="en-GB"/>
        </w:rPr>
        <w:t>The Equality Act 2010 (Specific Duties) Regulations 2011 came into force from September 2011. The specific duties require the College to publish relevant information demonstrating its compliance with the Equality Duty.</w:t>
      </w:r>
    </w:p>
    <w:p w:rsidR="00EB2E3D" w:rsidRDefault="00EB2E3D" w:rsidP="00EB2E3D">
      <w:pPr>
        <w:rPr>
          <w:noProof/>
          <w:lang w:eastAsia="en-GB"/>
        </w:rPr>
      </w:pPr>
      <w:r>
        <w:rPr>
          <w:noProof/>
          <w:lang w:eastAsia="en-GB"/>
        </w:rPr>
        <w:t xml:space="preserve">HR produces an annual report known as the ‘Staff Individualised Records (SIR) which is submitted to ‘Frontier Economics’ who publish the annual ‘Further Education Workforce data for England’ report. The report provides a range of labour market intelligence which enables the College to benchmark its </w:t>
      </w:r>
      <w:r w:rsidR="00325A4C">
        <w:rPr>
          <w:noProof/>
          <w:lang w:eastAsia="en-GB"/>
        </w:rPr>
        <w:t>Equality, Diversity and Inclusion</w:t>
      </w:r>
      <w:r>
        <w:rPr>
          <w:noProof/>
          <w:lang w:eastAsia="en-GB"/>
        </w:rPr>
        <w:t xml:space="preserve"> data against the national FE Sector.</w:t>
      </w:r>
    </w:p>
    <w:p w:rsidR="00EB2E3D" w:rsidRDefault="003721A6" w:rsidP="00EB2E3D">
      <w:pPr>
        <w:rPr>
          <w:noProof/>
          <w:lang w:eastAsia="en-GB"/>
        </w:rPr>
      </w:pPr>
      <w:r>
        <w:rPr>
          <w:noProof/>
          <w:lang w:eastAsia="en-GB"/>
        </w:rPr>
        <w:t>This</w:t>
      </w:r>
      <w:r w:rsidR="00EB2E3D">
        <w:rPr>
          <w:noProof/>
          <w:lang w:eastAsia="en-GB"/>
        </w:rPr>
        <w:t xml:space="preserve"> report provides a brief summary analysis over the previous 3 academic years, where </w:t>
      </w:r>
      <w:r w:rsidR="00325A4C">
        <w:rPr>
          <w:noProof/>
          <w:lang w:eastAsia="en-GB"/>
        </w:rPr>
        <w:t>Equality, Diversity and Inclusion</w:t>
      </w:r>
      <w:r w:rsidR="00EB2E3D">
        <w:rPr>
          <w:noProof/>
          <w:lang w:eastAsia="en-GB"/>
        </w:rPr>
        <w:t xml:space="preserve"> data is available. </w:t>
      </w:r>
    </w:p>
    <w:p w:rsidR="00EB2E3D" w:rsidRPr="00EB2E3D" w:rsidRDefault="00EB2E3D" w:rsidP="00EB2E3D">
      <w:pPr>
        <w:rPr>
          <w:noProof/>
          <w:highlight w:val="yellow"/>
          <w:lang w:eastAsia="en-GB"/>
        </w:rPr>
      </w:pPr>
      <w:r w:rsidRPr="00EB2E3D">
        <w:rPr>
          <w:noProof/>
          <w:lang w:eastAsia="en-GB"/>
        </w:rPr>
        <w:t>A snapshot of staff ED</w:t>
      </w:r>
      <w:r w:rsidR="006856CD">
        <w:rPr>
          <w:noProof/>
          <w:lang w:eastAsia="en-GB"/>
        </w:rPr>
        <w:t>I</w:t>
      </w:r>
      <w:r w:rsidRPr="00EB2E3D">
        <w:rPr>
          <w:noProof/>
          <w:lang w:eastAsia="en-GB"/>
        </w:rPr>
        <w:t xml:space="preserve"> information was taken on the 31 August 2018 (end of the 2017/18 academic year</w:t>
      </w:r>
      <w:r w:rsidRPr="001544F8">
        <w:rPr>
          <w:noProof/>
          <w:lang w:eastAsia="en-GB"/>
        </w:rPr>
        <w:t xml:space="preserve">), at this point there were </w:t>
      </w:r>
      <w:r w:rsidR="003721A6">
        <w:rPr>
          <w:noProof/>
          <w:lang w:eastAsia="en-GB"/>
        </w:rPr>
        <w:t>a total 812</w:t>
      </w:r>
      <w:r w:rsidRPr="001544F8">
        <w:rPr>
          <w:noProof/>
          <w:lang w:eastAsia="en-GB"/>
        </w:rPr>
        <w:t xml:space="preserve"> </w:t>
      </w:r>
      <w:r w:rsidR="001544F8" w:rsidRPr="001544F8">
        <w:rPr>
          <w:noProof/>
          <w:lang w:eastAsia="en-GB"/>
        </w:rPr>
        <w:t>salaried staff</w:t>
      </w:r>
      <w:r w:rsidR="003721A6">
        <w:rPr>
          <w:noProof/>
          <w:lang w:eastAsia="en-GB"/>
        </w:rPr>
        <w:t xml:space="preserve"> </w:t>
      </w:r>
      <w:r w:rsidR="00596CBE">
        <w:rPr>
          <w:noProof/>
          <w:lang w:eastAsia="en-GB"/>
        </w:rPr>
        <w:t>across the Chesterfield College Group, including v</w:t>
      </w:r>
      <w:r w:rsidR="003721A6">
        <w:rPr>
          <w:noProof/>
          <w:lang w:eastAsia="en-GB"/>
        </w:rPr>
        <w:t>ariable hours staff. This figure comprises a total of 596 permanent staff (</w:t>
      </w:r>
      <w:r w:rsidR="001544F8">
        <w:rPr>
          <w:noProof/>
          <w:lang w:eastAsia="en-GB"/>
        </w:rPr>
        <w:t>502.96 full time equiavelent)</w:t>
      </w:r>
      <w:r w:rsidRPr="001544F8">
        <w:rPr>
          <w:noProof/>
          <w:lang w:eastAsia="en-GB"/>
        </w:rPr>
        <w:t xml:space="preserve">. </w:t>
      </w:r>
      <w:r w:rsidR="003721A6">
        <w:rPr>
          <w:noProof/>
          <w:lang w:eastAsia="en-GB"/>
        </w:rPr>
        <w:t>A</w:t>
      </w:r>
      <w:r w:rsidRPr="001544F8">
        <w:rPr>
          <w:noProof/>
          <w:lang w:eastAsia="en-GB"/>
        </w:rPr>
        <w:t>gency workers and self-employed staff are excluded from this report.</w:t>
      </w:r>
    </w:p>
    <w:p w:rsidR="003721A6" w:rsidRPr="003721A6" w:rsidRDefault="003721A6" w:rsidP="00EB2E3D">
      <w:pPr>
        <w:rPr>
          <w:noProof/>
          <w:lang w:eastAsia="en-GB"/>
        </w:rPr>
      </w:pPr>
      <w:r w:rsidRPr="003721A6">
        <w:rPr>
          <w:noProof/>
          <w:u w:val="single"/>
          <w:lang w:eastAsia="en-GB"/>
        </w:rPr>
        <w:t>Age</w:t>
      </w:r>
    </w:p>
    <w:p w:rsidR="003721A6" w:rsidRDefault="003721A6" w:rsidP="00EB2E3D">
      <w:pPr>
        <w:rPr>
          <w:noProof/>
          <w:lang w:eastAsia="en-GB"/>
        </w:rPr>
      </w:pPr>
      <w:r w:rsidRPr="003721A6">
        <w:rPr>
          <w:noProof/>
          <w:lang w:eastAsia="en-GB"/>
        </w:rPr>
        <w:t>The following table show</w:t>
      </w:r>
      <w:r w:rsidR="00230857">
        <w:rPr>
          <w:noProof/>
          <w:lang w:eastAsia="en-GB"/>
        </w:rPr>
        <w:t>s</w:t>
      </w:r>
      <w:r w:rsidRPr="003721A6">
        <w:rPr>
          <w:noProof/>
          <w:lang w:eastAsia="en-GB"/>
        </w:rPr>
        <w:t xml:space="preserve"> the age profilig of staff over the previous 3 academic years.</w:t>
      </w:r>
    </w:p>
    <w:p w:rsidR="00596CBE" w:rsidRDefault="003721A6" w:rsidP="00EB2E3D">
      <w:pPr>
        <w:rPr>
          <w:noProof/>
          <w:lang w:eastAsia="en-GB"/>
        </w:rPr>
      </w:pPr>
      <w:r>
        <w:rPr>
          <w:noProof/>
          <w:lang w:eastAsia="en-GB"/>
        </w:rPr>
        <w:t xml:space="preserve">Table1. </w:t>
      </w:r>
      <w:r w:rsidR="00596CBE">
        <w:rPr>
          <w:noProof/>
          <w:lang w:eastAsia="en-GB"/>
        </w:rPr>
        <w:drawing>
          <wp:inline distT="0" distB="0" distL="0" distR="0" wp14:anchorId="6906221D" wp14:editId="5E4E4FE2">
            <wp:extent cx="5705475" cy="27432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721A6" w:rsidRDefault="003721A6" w:rsidP="003721A6">
      <w:pPr>
        <w:rPr>
          <w:noProof/>
          <w:lang w:eastAsia="en-GB"/>
        </w:rPr>
      </w:pPr>
      <w:r w:rsidRPr="003721A6">
        <w:rPr>
          <w:noProof/>
          <w:lang w:eastAsia="en-GB"/>
        </w:rPr>
        <w:t xml:space="preserve">The age profile has remained largely static for the last 3 years. </w:t>
      </w:r>
      <w:r>
        <w:rPr>
          <w:noProof/>
          <w:lang w:eastAsia="en-GB"/>
        </w:rPr>
        <w:t>Chesterfield College employs a higher percentage of young people (16-24)</w:t>
      </w:r>
      <w:r w:rsidR="009F2B74">
        <w:rPr>
          <w:noProof/>
          <w:lang w:eastAsia="en-GB"/>
        </w:rPr>
        <w:t>;</w:t>
      </w:r>
      <w:r>
        <w:rPr>
          <w:noProof/>
          <w:lang w:eastAsia="en-GB"/>
        </w:rPr>
        <w:t xml:space="preserve"> 6% compared to</w:t>
      </w:r>
      <w:r w:rsidR="009F2B74">
        <w:rPr>
          <w:noProof/>
          <w:lang w:eastAsia="en-GB"/>
        </w:rPr>
        <w:t xml:space="preserve"> the</w:t>
      </w:r>
      <w:r>
        <w:rPr>
          <w:noProof/>
          <w:lang w:eastAsia="en-GB"/>
        </w:rPr>
        <w:t xml:space="preserve"> average for FE Colleges of 4%. </w:t>
      </w:r>
    </w:p>
    <w:p w:rsidR="003721A6" w:rsidRDefault="003721A6" w:rsidP="003721A6">
      <w:pPr>
        <w:rPr>
          <w:noProof/>
          <w:lang w:eastAsia="en-GB"/>
        </w:rPr>
      </w:pPr>
      <w:r>
        <w:rPr>
          <w:noProof/>
          <w:lang w:eastAsia="en-GB"/>
        </w:rPr>
        <w:t xml:space="preserve">The College’s most dominant age band is 45-49, whereas in the previous two years this was 50-54 (currently the same as the wider FE sector). However, of the 157 permanent teaching staff, the dominant age band 55-59 represents 20%, compared to 15% in FE. </w:t>
      </w:r>
      <w:r w:rsidRPr="003721A6">
        <w:rPr>
          <w:noProof/>
          <w:lang w:eastAsia="en-GB"/>
        </w:rPr>
        <w:t xml:space="preserve">However the College has already </w:t>
      </w:r>
      <w:r w:rsidRPr="003721A6">
        <w:rPr>
          <w:noProof/>
          <w:lang w:eastAsia="en-GB"/>
        </w:rPr>
        <w:lastRenderedPageBreak/>
        <w:t>introduced succession plans and has identified and appointed a number of Internship/Graduate roles which have so far proved successful.</w:t>
      </w:r>
    </w:p>
    <w:p w:rsidR="00EB2E3D" w:rsidRPr="006F336F" w:rsidRDefault="001544F8" w:rsidP="00EB2E3D">
      <w:pPr>
        <w:rPr>
          <w:noProof/>
          <w:lang w:eastAsia="en-GB"/>
        </w:rPr>
      </w:pPr>
      <w:r w:rsidRPr="006F336F">
        <w:rPr>
          <w:noProof/>
          <w:u w:val="single"/>
          <w:lang w:eastAsia="en-GB"/>
        </w:rPr>
        <w:t>Gender</w:t>
      </w:r>
    </w:p>
    <w:p w:rsidR="00EB2E3D" w:rsidRPr="006F336F" w:rsidRDefault="00EB2E3D" w:rsidP="00EB2E3D">
      <w:pPr>
        <w:rPr>
          <w:noProof/>
          <w:lang w:eastAsia="en-GB"/>
        </w:rPr>
      </w:pPr>
      <w:r w:rsidRPr="006F336F">
        <w:rPr>
          <w:noProof/>
          <w:lang w:eastAsia="en-GB"/>
        </w:rPr>
        <w:t xml:space="preserve">The </w:t>
      </w:r>
      <w:r w:rsidR="006F336F" w:rsidRPr="006F336F">
        <w:rPr>
          <w:noProof/>
          <w:lang w:eastAsia="en-GB"/>
        </w:rPr>
        <w:t>Chesterfield</w:t>
      </w:r>
      <w:r w:rsidRPr="006F336F">
        <w:rPr>
          <w:noProof/>
          <w:lang w:eastAsia="en-GB"/>
        </w:rPr>
        <w:t xml:space="preserve"> College workforce is </w:t>
      </w:r>
      <w:r w:rsidR="006F336F" w:rsidRPr="006F336F">
        <w:rPr>
          <w:noProof/>
          <w:lang w:eastAsia="en-GB"/>
        </w:rPr>
        <w:t>58</w:t>
      </w:r>
      <w:r w:rsidRPr="006F336F">
        <w:rPr>
          <w:noProof/>
          <w:lang w:eastAsia="en-GB"/>
        </w:rPr>
        <w:t xml:space="preserve">% female </w:t>
      </w:r>
      <w:r w:rsidR="00061493">
        <w:rPr>
          <w:noProof/>
          <w:lang w:eastAsia="en-GB"/>
        </w:rPr>
        <w:t>and 42% male, a profile which has remained static for the last 3 academic years. This is broadly similar to the national pitcure where the overall workfo</w:t>
      </w:r>
      <w:r w:rsidR="009F2B74">
        <w:rPr>
          <w:noProof/>
          <w:lang w:eastAsia="en-GB"/>
        </w:rPr>
        <w:t>r</w:t>
      </w:r>
      <w:r w:rsidR="00061493">
        <w:rPr>
          <w:noProof/>
          <w:lang w:eastAsia="en-GB"/>
        </w:rPr>
        <w:t>ce gender profile is 62% female</w:t>
      </w:r>
      <w:r w:rsidR="009F2B74">
        <w:rPr>
          <w:noProof/>
          <w:lang w:eastAsia="en-GB"/>
        </w:rPr>
        <w:t xml:space="preserve"> and</w:t>
      </w:r>
      <w:r w:rsidR="00061493">
        <w:rPr>
          <w:noProof/>
          <w:lang w:eastAsia="en-GB"/>
        </w:rPr>
        <w:t xml:space="preserve"> 38% male.</w:t>
      </w:r>
    </w:p>
    <w:p w:rsidR="006F336F" w:rsidRDefault="006F336F" w:rsidP="00EB2E3D">
      <w:pPr>
        <w:rPr>
          <w:noProof/>
          <w:highlight w:val="yellow"/>
          <w:lang w:eastAsia="en-GB"/>
        </w:rPr>
      </w:pPr>
      <w:r w:rsidRPr="006F336F">
        <w:rPr>
          <w:noProof/>
          <w:lang w:eastAsia="en-GB"/>
        </w:rPr>
        <w:t xml:space="preserve">Table 2. </w:t>
      </w:r>
      <w:r>
        <w:rPr>
          <w:noProof/>
          <w:lang w:eastAsia="en-GB"/>
        </w:rPr>
        <w:drawing>
          <wp:inline distT="0" distB="0" distL="0" distR="0" wp14:anchorId="1481EFDF" wp14:editId="2E38FE26">
            <wp:extent cx="5724525" cy="22383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F336F" w:rsidRPr="00284391" w:rsidRDefault="00061493" w:rsidP="00EB2E3D">
      <w:pPr>
        <w:rPr>
          <w:noProof/>
          <w:lang w:eastAsia="en-GB"/>
        </w:rPr>
      </w:pPr>
      <w:r w:rsidRPr="00284391">
        <w:rPr>
          <w:noProof/>
          <w:lang w:eastAsia="en-GB"/>
        </w:rPr>
        <w:t>The largest gender ‘gap’ is found within Business Support roles, with 65% female</w:t>
      </w:r>
      <w:r w:rsidR="00284391" w:rsidRPr="00284391">
        <w:rPr>
          <w:noProof/>
          <w:lang w:eastAsia="en-GB"/>
        </w:rPr>
        <w:t xml:space="preserve"> to</w:t>
      </w:r>
      <w:r w:rsidRPr="00284391">
        <w:rPr>
          <w:noProof/>
          <w:lang w:eastAsia="en-GB"/>
        </w:rPr>
        <w:t xml:space="preserve"> 35% male</w:t>
      </w:r>
      <w:r w:rsidR="00284391" w:rsidRPr="00284391">
        <w:rPr>
          <w:noProof/>
          <w:lang w:eastAsia="en-GB"/>
        </w:rPr>
        <w:t>.</w:t>
      </w:r>
      <w:r w:rsidR="009F2B74">
        <w:rPr>
          <w:noProof/>
          <w:lang w:eastAsia="en-GB"/>
        </w:rPr>
        <w:t xml:space="preserve"> The management gender gap</w:t>
      </w:r>
      <w:r w:rsidRPr="00284391">
        <w:rPr>
          <w:noProof/>
          <w:lang w:eastAsia="en-GB"/>
        </w:rPr>
        <w:t xml:space="preserve"> is more balanced with </w:t>
      </w:r>
      <w:r w:rsidR="00284391" w:rsidRPr="00284391">
        <w:rPr>
          <w:noProof/>
          <w:lang w:eastAsia="en-GB"/>
        </w:rPr>
        <w:t xml:space="preserve">52.5% female to 47.5% male. </w:t>
      </w:r>
    </w:p>
    <w:p w:rsidR="00FF5522" w:rsidRDefault="00284391" w:rsidP="00FF5522">
      <w:pPr>
        <w:rPr>
          <w:noProof/>
          <w:shd w:val="clear" w:color="auto" w:fill="FFFFFF" w:themeFill="background1"/>
          <w:lang w:eastAsia="en-GB"/>
        </w:rPr>
      </w:pPr>
      <w:r w:rsidRPr="00FF5522">
        <w:rPr>
          <w:noProof/>
          <w:lang w:eastAsia="en-GB"/>
        </w:rPr>
        <w:t xml:space="preserve">Nationally, women have made up 53-56% of teaching staff roles within the last 3 academic years, with no significant change across </w:t>
      </w:r>
      <w:r w:rsidRPr="00FF5522">
        <w:rPr>
          <w:noProof/>
          <w:shd w:val="clear" w:color="auto" w:fill="FFFFFF" w:themeFill="background1"/>
          <w:lang w:eastAsia="en-GB"/>
        </w:rPr>
        <w:t>that period. This is broadly similar to the college, with women accounting for 60% of teachin</w:t>
      </w:r>
      <w:r w:rsidR="00230857">
        <w:rPr>
          <w:noProof/>
          <w:shd w:val="clear" w:color="auto" w:fill="FFFFFF" w:themeFill="background1"/>
          <w:lang w:eastAsia="en-GB"/>
        </w:rPr>
        <w:t>g roles. This is a signifi</w:t>
      </w:r>
      <w:r w:rsidRPr="00FF5522">
        <w:rPr>
          <w:noProof/>
          <w:shd w:val="clear" w:color="auto" w:fill="FFFFFF" w:themeFill="background1"/>
          <w:lang w:eastAsia="en-GB"/>
        </w:rPr>
        <w:t>cant shift from</w:t>
      </w:r>
      <w:r w:rsidR="00FF5522" w:rsidRPr="00FF5522">
        <w:rPr>
          <w:noProof/>
          <w:shd w:val="clear" w:color="auto" w:fill="FFFFFF" w:themeFill="background1"/>
          <w:lang w:eastAsia="en-GB"/>
        </w:rPr>
        <w:t xml:space="preserve"> </w:t>
      </w:r>
      <w:r w:rsidRPr="00FF5522">
        <w:rPr>
          <w:noProof/>
          <w:shd w:val="clear" w:color="auto" w:fill="FFFFFF" w:themeFill="background1"/>
          <w:lang w:eastAsia="en-GB"/>
        </w:rPr>
        <w:t>the previous year</w:t>
      </w:r>
      <w:r w:rsidR="00230857">
        <w:rPr>
          <w:noProof/>
          <w:shd w:val="clear" w:color="auto" w:fill="FFFFFF" w:themeFill="background1"/>
          <w:lang w:eastAsia="en-GB"/>
        </w:rPr>
        <w:t>, as</w:t>
      </w:r>
      <w:r w:rsidRPr="00FF5522">
        <w:rPr>
          <w:noProof/>
          <w:shd w:val="clear" w:color="auto" w:fill="FFFFFF" w:themeFill="background1"/>
          <w:lang w:eastAsia="en-GB"/>
        </w:rPr>
        <w:t xml:space="preserve"> </w:t>
      </w:r>
      <w:r w:rsidR="00FF5522" w:rsidRPr="00FF5522">
        <w:rPr>
          <w:noProof/>
          <w:shd w:val="clear" w:color="auto" w:fill="FFFFFF" w:themeFill="background1"/>
          <w:lang w:eastAsia="en-GB"/>
        </w:rPr>
        <w:t>the teaching gender ratio was 47% female to 53% male in 2016/17</w:t>
      </w:r>
      <w:r w:rsidR="009F2B74">
        <w:rPr>
          <w:noProof/>
          <w:shd w:val="clear" w:color="auto" w:fill="FFFFFF" w:themeFill="background1"/>
          <w:lang w:eastAsia="en-GB"/>
        </w:rPr>
        <w:t>,</w:t>
      </w:r>
      <w:r w:rsidR="00FF5522" w:rsidRPr="00FF5522">
        <w:rPr>
          <w:noProof/>
          <w:shd w:val="clear" w:color="auto" w:fill="FFFFFF" w:themeFill="background1"/>
          <w:lang w:eastAsia="en-GB"/>
        </w:rPr>
        <w:t xml:space="preserve"> and 45% female to 55% male in 2015/16.</w:t>
      </w:r>
    </w:p>
    <w:p w:rsidR="00FF5522" w:rsidRPr="00FF5522" w:rsidRDefault="00FF5522" w:rsidP="00FF5522">
      <w:pPr>
        <w:rPr>
          <w:noProof/>
          <w:highlight w:val="green"/>
          <w:lang w:eastAsia="en-GB"/>
        </w:rPr>
      </w:pPr>
      <w:r>
        <w:rPr>
          <w:noProof/>
          <w:shd w:val="clear" w:color="auto" w:fill="FFFFFF" w:themeFill="background1"/>
          <w:lang w:eastAsia="en-GB"/>
        </w:rPr>
        <w:t>Females within Bus</w:t>
      </w:r>
      <w:r w:rsidR="00E50BAC">
        <w:rPr>
          <w:noProof/>
          <w:shd w:val="clear" w:color="auto" w:fill="FFFFFF" w:themeFill="background1"/>
          <w:lang w:eastAsia="en-GB"/>
        </w:rPr>
        <w:t>iness</w:t>
      </w:r>
      <w:r>
        <w:rPr>
          <w:noProof/>
          <w:shd w:val="clear" w:color="auto" w:fill="FFFFFF" w:themeFill="background1"/>
          <w:lang w:eastAsia="en-GB"/>
        </w:rPr>
        <w:t xml:space="preserve"> Support roles account for 74%. The Business Support roles are paid </w:t>
      </w:r>
      <w:r w:rsidR="00230857">
        <w:rPr>
          <w:noProof/>
          <w:shd w:val="clear" w:color="auto" w:fill="FFFFFF" w:themeFill="background1"/>
          <w:lang w:eastAsia="en-GB"/>
        </w:rPr>
        <w:t>relatively</w:t>
      </w:r>
      <w:r>
        <w:rPr>
          <w:noProof/>
          <w:shd w:val="clear" w:color="auto" w:fill="FFFFFF" w:themeFill="background1"/>
          <w:lang w:eastAsia="en-GB"/>
        </w:rPr>
        <w:t xml:space="preserve"> lower then teaching and management roles and this ‘gap’ p</w:t>
      </w:r>
      <w:r w:rsidR="00E50BAC">
        <w:rPr>
          <w:noProof/>
          <w:shd w:val="clear" w:color="auto" w:fill="FFFFFF" w:themeFill="background1"/>
          <w:lang w:eastAsia="en-GB"/>
        </w:rPr>
        <w:t>art explains the college’s medi</w:t>
      </w:r>
      <w:r>
        <w:rPr>
          <w:noProof/>
          <w:shd w:val="clear" w:color="auto" w:fill="FFFFFF" w:themeFill="background1"/>
          <w:lang w:eastAsia="en-GB"/>
        </w:rPr>
        <w:t xml:space="preserve">an Gender Pay Gap of </w:t>
      </w:r>
      <w:r w:rsidR="00230857">
        <w:rPr>
          <w:noProof/>
          <w:shd w:val="clear" w:color="auto" w:fill="FFFFFF" w:themeFill="background1"/>
          <w:lang w:eastAsia="en-GB"/>
        </w:rPr>
        <w:t>11.3%. However it is w</w:t>
      </w:r>
      <w:r w:rsidR="00A4701E">
        <w:rPr>
          <w:noProof/>
          <w:shd w:val="clear" w:color="auto" w:fill="FFFFFF" w:themeFill="background1"/>
          <w:lang w:eastAsia="en-GB"/>
        </w:rPr>
        <w:t>orth noting that the education sector median pay gaps is 26.4%. The college’s Gender Pay Gap report</w:t>
      </w:r>
      <w:r w:rsidR="00230857">
        <w:rPr>
          <w:noProof/>
          <w:shd w:val="clear" w:color="auto" w:fill="FFFFFF" w:themeFill="background1"/>
          <w:lang w:eastAsia="en-GB"/>
        </w:rPr>
        <w:t>, published on the college website,</w:t>
      </w:r>
      <w:r w:rsidR="00A4701E">
        <w:rPr>
          <w:noProof/>
          <w:shd w:val="clear" w:color="auto" w:fill="FFFFFF" w:themeFill="background1"/>
          <w:lang w:eastAsia="en-GB"/>
        </w:rPr>
        <w:t xml:space="preserve"> outlines actions to address our pay gap.</w:t>
      </w:r>
    </w:p>
    <w:p w:rsidR="00EB2E3D" w:rsidRPr="00A4701E" w:rsidRDefault="00EB2E3D" w:rsidP="00EB2E3D">
      <w:pPr>
        <w:rPr>
          <w:noProof/>
          <w:u w:val="single"/>
          <w:lang w:eastAsia="en-GB"/>
        </w:rPr>
      </w:pPr>
      <w:r w:rsidRPr="00A4701E">
        <w:rPr>
          <w:noProof/>
          <w:u w:val="single"/>
          <w:lang w:eastAsia="en-GB"/>
        </w:rPr>
        <w:t>Disability</w:t>
      </w:r>
    </w:p>
    <w:p w:rsidR="00A4701E" w:rsidRDefault="00EB2E3D" w:rsidP="00A4701E">
      <w:pPr>
        <w:rPr>
          <w:noProof/>
          <w:lang w:eastAsia="en-GB"/>
        </w:rPr>
      </w:pPr>
      <w:r w:rsidRPr="00A4701E">
        <w:rPr>
          <w:noProof/>
          <w:lang w:eastAsia="en-GB"/>
        </w:rPr>
        <w:t xml:space="preserve">Our workforce data tells us that </w:t>
      </w:r>
      <w:r w:rsidR="00A4701E" w:rsidRPr="00A4701E">
        <w:rPr>
          <w:noProof/>
          <w:lang w:eastAsia="en-GB"/>
        </w:rPr>
        <w:t xml:space="preserve">4.7% </w:t>
      </w:r>
      <w:r w:rsidRPr="00A4701E">
        <w:rPr>
          <w:noProof/>
          <w:lang w:eastAsia="en-GB"/>
        </w:rPr>
        <w:t xml:space="preserve">of staff </w:t>
      </w:r>
      <w:r w:rsidR="00230857">
        <w:rPr>
          <w:noProof/>
          <w:lang w:eastAsia="en-GB"/>
        </w:rPr>
        <w:t>declared</w:t>
      </w:r>
      <w:r w:rsidRPr="00A4701E">
        <w:rPr>
          <w:noProof/>
          <w:lang w:eastAsia="en-GB"/>
        </w:rPr>
        <w:t xml:space="preserve"> a disability</w:t>
      </w:r>
      <w:r w:rsidR="00A4701E">
        <w:rPr>
          <w:noProof/>
          <w:lang w:eastAsia="en-GB"/>
        </w:rPr>
        <w:t>, the same as in 2016/17</w:t>
      </w:r>
      <w:r w:rsidR="00A4701E" w:rsidRPr="00A4701E">
        <w:rPr>
          <w:noProof/>
          <w:lang w:eastAsia="en-GB"/>
        </w:rPr>
        <w:t>.</w:t>
      </w:r>
    </w:p>
    <w:p w:rsidR="000B75C0" w:rsidRPr="00A4701E" w:rsidRDefault="000B75C0" w:rsidP="00A4701E">
      <w:pPr>
        <w:rPr>
          <w:noProof/>
          <w:lang w:eastAsia="en-GB"/>
        </w:rPr>
      </w:pPr>
      <w:r>
        <w:rPr>
          <w:noProof/>
          <w:lang w:eastAsia="en-GB"/>
        </w:rPr>
        <w:t>Table 3.</w:t>
      </w:r>
    </w:p>
    <w:tbl>
      <w:tblPr>
        <w:tblW w:w="8784" w:type="dxa"/>
        <w:tblLook w:val="04A0" w:firstRow="1" w:lastRow="0" w:firstColumn="1" w:lastColumn="0" w:noHBand="0" w:noVBand="1"/>
      </w:tblPr>
      <w:tblGrid>
        <w:gridCol w:w="1696"/>
        <w:gridCol w:w="2410"/>
        <w:gridCol w:w="2126"/>
        <w:gridCol w:w="2552"/>
      </w:tblGrid>
      <w:tr w:rsidR="00A4701E" w:rsidRPr="00A4701E" w:rsidTr="00A4701E">
        <w:trPr>
          <w:trHeight w:val="656"/>
        </w:trPr>
        <w:tc>
          <w:tcPr>
            <w:tcW w:w="1696" w:type="dxa"/>
            <w:tcBorders>
              <w:top w:val="nil"/>
              <w:left w:val="single" w:sz="4" w:space="0" w:color="3877A6"/>
              <w:bottom w:val="nil"/>
              <w:right w:val="nil"/>
            </w:tcBorders>
            <w:shd w:val="clear" w:color="auto" w:fill="95B3D7" w:themeFill="accent1" w:themeFillTint="99"/>
            <w:vAlign w:val="bottom"/>
            <w:hideMark/>
          </w:tcPr>
          <w:p w:rsidR="00A4701E" w:rsidRPr="00A4701E" w:rsidRDefault="00A4701E" w:rsidP="00A4701E">
            <w:pPr>
              <w:spacing w:after="0" w:line="240" w:lineRule="auto"/>
              <w:jc w:val="center"/>
              <w:rPr>
                <w:rFonts w:eastAsia="Times New Roman" w:cstheme="minorHAnsi"/>
                <w:b/>
                <w:bCs/>
                <w:lang w:eastAsia="en-GB"/>
              </w:rPr>
            </w:pPr>
            <w:r w:rsidRPr="00A4701E">
              <w:rPr>
                <w:rFonts w:eastAsia="Times New Roman" w:cstheme="minorHAnsi"/>
                <w:b/>
                <w:bCs/>
                <w:lang w:eastAsia="en-GB"/>
              </w:rPr>
              <w:t>Disabled</w:t>
            </w:r>
          </w:p>
        </w:tc>
        <w:tc>
          <w:tcPr>
            <w:tcW w:w="2410" w:type="dxa"/>
            <w:tcBorders>
              <w:top w:val="nil"/>
              <w:left w:val="single" w:sz="4" w:space="0" w:color="3877A6"/>
              <w:bottom w:val="nil"/>
              <w:right w:val="nil"/>
            </w:tcBorders>
            <w:shd w:val="clear" w:color="auto" w:fill="95B3D7" w:themeFill="accent1" w:themeFillTint="99"/>
            <w:vAlign w:val="bottom"/>
            <w:hideMark/>
          </w:tcPr>
          <w:p w:rsidR="00A4701E" w:rsidRPr="00A4701E" w:rsidRDefault="00A4701E" w:rsidP="00A4701E">
            <w:pPr>
              <w:spacing w:after="0" w:line="240" w:lineRule="auto"/>
              <w:jc w:val="center"/>
              <w:rPr>
                <w:rFonts w:eastAsia="Times New Roman" w:cstheme="minorHAnsi"/>
                <w:b/>
                <w:bCs/>
                <w:lang w:eastAsia="en-GB"/>
              </w:rPr>
            </w:pPr>
            <w:r w:rsidRPr="00A4701E">
              <w:rPr>
                <w:rFonts w:eastAsia="Times New Roman" w:cstheme="minorHAnsi"/>
                <w:b/>
                <w:bCs/>
                <w:lang w:eastAsia="en-GB"/>
              </w:rPr>
              <w:t>2017-18</w:t>
            </w:r>
          </w:p>
        </w:tc>
        <w:tc>
          <w:tcPr>
            <w:tcW w:w="2126" w:type="dxa"/>
            <w:tcBorders>
              <w:top w:val="nil"/>
              <w:left w:val="single" w:sz="4" w:space="0" w:color="3877A6"/>
              <w:bottom w:val="nil"/>
              <w:right w:val="nil"/>
            </w:tcBorders>
            <w:shd w:val="clear" w:color="auto" w:fill="95B3D7" w:themeFill="accent1" w:themeFillTint="99"/>
            <w:vAlign w:val="bottom"/>
            <w:hideMark/>
          </w:tcPr>
          <w:p w:rsidR="00A4701E" w:rsidRPr="00A4701E" w:rsidRDefault="00A4701E" w:rsidP="00A4701E">
            <w:pPr>
              <w:spacing w:after="0" w:line="240" w:lineRule="auto"/>
              <w:jc w:val="center"/>
              <w:rPr>
                <w:rFonts w:eastAsia="Times New Roman" w:cstheme="minorHAnsi"/>
                <w:b/>
                <w:bCs/>
                <w:lang w:eastAsia="en-GB"/>
              </w:rPr>
            </w:pPr>
            <w:r w:rsidRPr="00A4701E">
              <w:rPr>
                <w:rFonts w:eastAsia="Times New Roman" w:cstheme="minorHAnsi"/>
                <w:b/>
                <w:bCs/>
                <w:lang w:eastAsia="en-GB"/>
              </w:rPr>
              <w:t>2016-17</w:t>
            </w:r>
          </w:p>
        </w:tc>
        <w:tc>
          <w:tcPr>
            <w:tcW w:w="2552" w:type="dxa"/>
            <w:tcBorders>
              <w:top w:val="nil"/>
              <w:left w:val="single" w:sz="4" w:space="0" w:color="3877A6"/>
              <w:bottom w:val="nil"/>
              <w:right w:val="nil"/>
            </w:tcBorders>
            <w:shd w:val="clear" w:color="auto" w:fill="95B3D7" w:themeFill="accent1" w:themeFillTint="99"/>
            <w:vAlign w:val="bottom"/>
            <w:hideMark/>
          </w:tcPr>
          <w:p w:rsidR="00A4701E" w:rsidRPr="00A4701E" w:rsidRDefault="00A4701E" w:rsidP="00A4701E">
            <w:pPr>
              <w:spacing w:after="0" w:line="240" w:lineRule="auto"/>
              <w:jc w:val="center"/>
              <w:rPr>
                <w:rFonts w:eastAsia="Times New Roman" w:cstheme="minorHAnsi"/>
                <w:b/>
                <w:bCs/>
                <w:lang w:eastAsia="en-GB"/>
              </w:rPr>
            </w:pPr>
            <w:r w:rsidRPr="00A4701E">
              <w:rPr>
                <w:rFonts w:eastAsia="Times New Roman" w:cstheme="minorHAnsi"/>
                <w:b/>
                <w:bCs/>
                <w:lang w:eastAsia="en-GB"/>
              </w:rPr>
              <w:t>2015-16</w:t>
            </w:r>
          </w:p>
        </w:tc>
      </w:tr>
      <w:tr w:rsidR="00A4701E" w:rsidRPr="00A4701E" w:rsidTr="00A4701E">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701E" w:rsidRPr="00A4701E" w:rsidRDefault="00A4701E" w:rsidP="00A4701E">
            <w:pPr>
              <w:spacing w:after="0" w:line="240" w:lineRule="auto"/>
              <w:jc w:val="center"/>
              <w:rPr>
                <w:rFonts w:eastAsia="Times New Roman" w:cstheme="minorHAnsi"/>
                <w:color w:val="000000"/>
                <w:lang w:eastAsia="en-GB"/>
              </w:rPr>
            </w:pPr>
            <w:r w:rsidRPr="00A4701E">
              <w:rPr>
                <w:rFonts w:eastAsia="Times New Roman" w:cstheme="minorHAnsi"/>
                <w:color w:val="000000"/>
                <w:lang w:eastAsia="en-GB"/>
              </w:rPr>
              <w:t>No</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A4701E" w:rsidRPr="00A4701E" w:rsidRDefault="00A4701E" w:rsidP="00A4701E">
            <w:pPr>
              <w:spacing w:after="0" w:line="240" w:lineRule="auto"/>
              <w:jc w:val="center"/>
              <w:rPr>
                <w:rFonts w:eastAsia="Times New Roman" w:cstheme="minorHAnsi"/>
                <w:color w:val="000000"/>
                <w:lang w:eastAsia="en-GB"/>
              </w:rPr>
            </w:pPr>
            <w:r w:rsidRPr="00A4701E">
              <w:rPr>
                <w:rFonts w:eastAsia="Times New Roman" w:cstheme="minorHAnsi"/>
                <w:color w:val="000000"/>
                <w:lang w:eastAsia="en-GB"/>
              </w:rPr>
              <w:t>72.48%</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A4701E" w:rsidRPr="00A4701E" w:rsidRDefault="00A4701E" w:rsidP="00A4701E">
            <w:pPr>
              <w:spacing w:after="0" w:line="240" w:lineRule="auto"/>
              <w:jc w:val="center"/>
              <w:rPr>
                <w:rFonts w:eastAsia="Times New Roman" w:cstheme="minorHAnsi"/>
                <w:color w:val="000000"/>
                <w:lang w:eastAsia="en-GB"/>
              </w:rPr>
            </w:pPr>
            <w:r w:rsidRPr="00A4701E">
              <w:rPr>
                <w:rFonts w:eastAsia="Times New Roman" w:cstheme="minorHAnsi"/>
                <w:color w:val="000000"/>
                <w:lang w:eastAsia="en-GB"/>
              </w:rPr>
              <w:t>92.70%</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A4701E" w:rsidRPr="00A4701E" w:rsidRDefault="00A4701E" w:rsidP="00A4701E">
            <w:pPr>
              <w:spacing w:after="0" w:line="240" w:lineRule="auto"/>
              <w:jc w:val="center"/>
              <w:rPr>
                <w:rFonts w:eastAsia="Times New Roman" w:cstheme="minorHAnsi"/>
                <w:color w:val="000000"/>
                <w:lang w:eastAsia="en-GB"/>
              </w:rPr>
            </w:pPr>
            <w:r w:rsidRPr="00A4701E">
              <w:rPr>
                <w:rFonts w:eastAsia="Times New Roman" w:cstheme="minorHAnsi"/>
                <w:color w:val="000000"/>
                <w:lang w:eastAsia="en-GB"/>
              </w:rPr>
              <w:t>94.40%</w:t>
            </w:r>
          </w:p>
        </w:tc>
      </w:tr>
      <w:tr w:rsidR="00A4701E" w:rsidRPr="00A4701E" w:rsidTr="00A4701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A4701E" w:rsidRPr="00A4701E" w:rsidRDefault="00A4701E" w:rsidP="00A4701E">
            <w:pPr>
              <w:spacing w:after="0" w:line="240" w:lineRule="auto"/>
              <w:jc w:val="center"/>
              <w:rPr>
                <w:rFonts w:eastAsia="Times New Roman" w:cstheme="minorHAnsi"/>
                <w:color w:val="000000"/>
                <w:lang w:eastAsia="en-GB"/>
              </w:rPr>
            </w:pPr>
            <w:r w:rsidRPr="00A4701E">
              <w:rPr>
                <w:rFonts w:eastAsia="Times New Roman" w:cstheme="minorHAnsi"/>
                <w:color w:val="000000"/>
                <w:lang w:eastAsia="en-GB"/>
              </w:rPr>
              <w:t>Not Known</w:t>
            </w:r>
          </w:p>
        </w:tc>
        <w:tc>
          <w:tcPr>
            <w:tcW w:w="2410" w:type="dxa"/>
            <w:tcBorders>
              <w:top w:val="nil"/>
              <w:left w:val="nil"/>
              <w:bottom w:val="single" w:sz="4" w:space="0" w:color="auto"/>
              <w:right w:val="single" w:sz="4" w:space="0" w:color="auto"/>
            </w:tcBorders>
            <w:shd w:val="clear" w:color="auto" w:fill="auto"/>
            <w:noWrap/>
            <w:vAlign w:val="bottom"/>
            <w:hideMark/>
          </w:tcPr>
          <w:p w:rsidR="00A4701E" w:rsidRPr="00A4701E" w:rsidRDefault="00A4701E" w:rsidP="00A4701E">
            <w:pPr>
              <w:spacing w:after="0" w:line="240" w:lineRule="auto"/>
              <w:jc w:val="center"/>
              <w:rPr>
                <w:rFonts w:eastAsia="Times New Roman" w:cstheme="minorHAnsi"/>
                <w:color w:val="000000"/>
                <w:lang w:eastAsia="en-GB"/>
              </w:rPr>
            </w:pPr>
            <w:r w:rsidRPr="00A4701E">
              <w:rPr>
                <w:rFonts w:eastAsia="Times New Roman" w:cstheme="minorHAnsi"/>
                <w:color w:val="000000"/>
                <w:lang w:eastAsia="en-GB"/>
              </w:rPr>
              <w:t>22.82%</w:t>
            </w:r>
          </w:p>
        </w:tc>
        <w:tc>
          <w:tcPr>
            <w:tcW w:w="2126" w:type="dxa"/>
            <w:tcBorders>
              <w:top w:val="nil"/>
              <w:left w:val="nil"/>
              <w:bottom w:val="single" w:sz="4" w:space="0" w:color="auto"/>
              <w:right w:val="single" w:sz="4" w:space="0" w:color="auto"/>
            </w:tcBorders>
            <w:shd w:val="clear" w:color="auto" w:fill="auto"/>
            <w:noWrap/>
            <w:vAlign w:val="bottom"/>
            <w:hideMark/>
          </w:tcPr>
          <w:p w:rsidR="00A4701E" w:rsidRPr="00A4701E" w:rsidRDefault="00A4701E" w:rsidP="00A4701E">
            <w:pPr>
              <w:spacing w:after="0" w:line="240" w:lineRule="auto"/>
              <w:jc w:val="center"/>
              <w:rPr>
                <w:rFonts w:eastAsia="Times New Roman" w:cstheme="minorHAnsi"/>
                <w:color w:val="000000"/>
                <w:lang w:eastAsia="en-GB"/>
              </w:rPr>
            </w:pPr>
            <w:r w:rsidRPr="00A4701E">
              <w:rPr>
                <w:rFonts w:eastAsia="Times New Roman" w:cstheme="minorHAnsi"/>
                <w:color w:val="000000"/>
                <w:lang w:eastAsia="en-GB"/>
              </w:rPr>
              <w:t>2.60%</w:t>
            </w:r>
          </w:p>
        </w:tc>
        <w:tc>
          <w:tcPr>
            <w:tcW w:w="2552" w:type="dxa"/>
            <w:tcBorders>
              <w:top w:val="nil"/>
              <w:left w:val="nil"/>
              <w:bottom w:val="single" w:sz="4" w:space="0" w:color="auto"/>
              <w:right w:val="single" w:sz="4" w:space="0" w:color="auto"/>
            </w:tcBorders>
            <w:shd w:val="clear" w:color="auto" w:fill="auto"/>
            <w:noWrap/>
            <w:vAlign w:val="bottom"/>
            <w:hideMark/>
          </w:tcPr>
          <w:p w:rsidR="00A4701E" w:rsidRPr="00A4701E" w:rsidRDefault="00A4701E" w:rsidP="00A4701E">
            <w:pPr>
              <w:spacing w:after="0" w:line="240" w:lineRule="auto"/>
              <w:jc w:val="center"/>
              <w:rPr>
                <w:rFonts w:eastAsia="Times New Roman" w:cstheme="minorHAnsi"/>
                <w:color w:val="000000"/>
                <w:lang w:eastAsia="en-GB"/>
              </w:rPr>
            </w:pPr>
            <w:r w:rsidRPr="00A4701E">
              <w:rPr>
                <w:rFonts w:eastAsia="Times New Roman" w:cstheme="minorHAnsi"/>
                <w:color w:val="000000"/>
                <w:lang w:eastAsia="en-GB"/>
              </w:rPr>
              <w:t>2.10%</w:t>
            </w:r>
          </w:p>
        </w:tc>
      </w:tr>
      <w:tr w:rsidR="00A4701E" w:rsidRPr="00A4701E" w:rsidTr="00A4701E">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A4701E" w:rsidRPr="00A4701E" w:rsidRDefault="00A4701E" w:rsidP="00A4701E">
            <w:pPr>
              <w:spacing w:after="0" w:line="240" w:lineRule="auto"/>
              <w:jc w:val="center"/>
              <w:rPr>
                <w:rFonts w:eastAsia="Times New Roman" w:cstheme="minorHAnsi"/>
                <w:color w:val="000000"/>
                <w:lang w:eastAsia="en-GB"/>
              </w:rPr>
            </w:pPr>
            <w:r w:rsidRPr="00A4701E">
              <w:rPr>
                <w:rFonts w:eastAsia="Times New Roman" w:cstheme="minorHAnsi"/>
                <w:color w:val="000000"/>
                <w:lang w:eastAsia="en-GB"/>
              </w:rPr>
              <w:t>Yes</w:t>
            </w:r>
          </w:p>
        </w:tc>
        <w:tc>
          <w:tcPr>
            <w:tcW w:w="2410" w:type="dxa"/>
            <w:tcBorders>
              <w:top w:val="nil"/>
              <w:left w:val="nil"/>
              <w:bottom w:val="single" w:sz="4" w:space="0" w:color="auto"/>
              <w:right w:val="single" w:sz="4" w:space="0" w:color="auto"/>
            </w:tcBorders>
            <w:shd w:val="clear" w:color="auto" w:fill="auto"/>
            <w:noWrap/>
            <w:vAlign w:val="bottom"/>
            <w:hideMark/>
          </w:tcPr>
          <w:p w:rsidR="00A4701E" w:rsidRPr="00A4701E" w:rsidRDefault="00A4701E" w:rsidP="00A4701E">
            <w:pPr>
              <w:spacing w:after="0" w:line="240" w:lineRule="auto"/>
              <w:jc w:val="center"/>
              <w:rPr>
                <w:rFonts w:eastAsia="Times New Roman" w:cstheme="minorHAnsi"/>
                <w:color w:val="000000"/>
                <w:lang w:eastAsia="en-GB"/>
              </w:rPr>
            </w:pPr>
            <w:r w:rsidRPr="00A4701E">
              <w:rPr>
                <w:rFonts w:eastAsia="Times New Roman" w:cstheme="minorHAnsi"/>
                <w:color w:val="000000"/>
                <w:lang w:eastAsia="en-GB"/>
              </w:rPr>
              <w:t>4.70%</w:t>
            </w:r>
          </w:p>
        </w:tc>
        <w:tc>
          <w:tcPr>
            <w:tcW w:w="2126" w:type="dxa"/>
            <w:tcBorders>
              <w:top w:val="nil"/>
              <w:left w:val="nil"/>
              <w:bottom w:val="single" w:sz="4" w:space="0" w:color="auto"/>
              <w:right w:val="single" w:sz="4" w:space="0" w:color="auto"/>
            </w:tcBorders>
            <w:shd w:val="clear" w:color="auto" w:fill="auto"/>
            <w:noWrap/>
            <w:vAlign w:val="bottom"/>
            <w:hideMark/>
          </w:tcPr>
          <w:p w:rsidR="00A4701E" w:rsidRPr="00A4701E" w:rsidRDefault="00A4701E" w:rsidP="00A4701E">
            <w:pPr>
              <w:spacing w:after="0" w:line="240" w:lineRule="auto"/>
              <w:jc w:val="center"/>
              <w:rPr>
                <w:rFonts w:eastAsia="Times New Roman" w:cstheme="minorHAnsi"/>
                <w:color w:val="000000"/>
                <w:lang w:eastAsia="en-GB"/>
              </w:rPr>
            </w:pPr>
            <w:r w:rsidRPr="00A4701E">
              <w:rPr>
                <w:rFonts w:eastAsia="Times New Roman" w:cstheme="minorHAnsi"/>
                <w:color w:val="000000"/>
                <w:lang w:eastAsia="en-GB"/>
              </w:rPr>
              <w:t>4.70%</w:t>
            </w:r>
          </w:p>
        </w:tc>
        <w:tc>
          <w:tcPr>
            <w:tcW w:w="2552" w:type="dxa"/>
            <w:tcBorders>
              <w:top w:val="nil"/>
              <w:left w:val="nil"/>
              <w:bottom w:val="single" w:sz="4" w:space="0" w:color="auto"/>
              <w:right w:val="single" w:sz="4" w:space="0" w:color="auto"/>
            </w:tcBorders>
            <w:shd w:val="clear" w:color="auto" w:fill="auto"/>
            <w:noWrap/>
            <w:vAlign w:val="bottom"/>
            <w:hideMark/>
          </w:tcPr>
          <w:p w:rsidR="00A4701E" w:rsidRPr="00A4701E" w:rsidRDefault="00A4701E" w:rsidP="00A4701E">
            <w:pPr>
              <w:spacing w:after="0" w:line="240" w:lineRule="auto"/>
              <w:jc w:val="center"/>
              <w:rPr>
                <w:rFonts w:eastAsia="Times New Roman" w:cstheme="minorHAnsi"/>
                <w:color w:val="000000"/>
                <w:lang w:eastAsia="en-GB"/>
              </w:rPr>
            </w:pPr>
            <w:r w:rsidRPr="00A4701E">
              <w:rPr>
                <w:rFonts w:eastAsia="Times New Roman" w:cstheme="minorHAnsi"/>
                <w:color w:val="000000"/>
                <w:lang w:eastAsia="en-GB"/>
              </w:rPr>
              <w:t>3.40%</w:t>
            </w:r>
          </w:p>
        </w:tc>
      </w:tr>
    </w:tbl>
    <w:p w:rsidR="00A4701E" w:rsidRDefault="00A4701E" w:rsidP="00EB2E3D">
      <w:pPr>
        <w:rPr>
          <w:noProof/>
          <w:highlight w:val="yellow"/>
          <w:lang w:eastAsia="en-GB"/>
        </w:rPr>
      </w:pPr>
    </w:p>
    <w:p w:rsidR="00EB2E3D" w:rsidRDefault="00EB2E3D" w:rsidP="00EB2E3D">
      <w:pPr>
        <w:rPr>
          <w:noProof/>
          <w:lang w:eastAsia="en-GB"/>
        </w:rPr>
      </w:pPr>
      <w:r w:rsidRPr="00F33A38">
        <w:rPr>
          <w:noProof/>
          <w:lang w:eastAsia="en-GB"/>
        </w:rPr>
        <w:lastRenderedPageBreak/>
        <w:t>The SIR FE Workforce Data report shows 6% of FE staff are disabled across FE Colleges nationally.</w:t>
      </w:r>
      <w:r w:rsidR="00F33A38">
        <w:rPr>
          <w:noProof/>
          <w:lang w:eastAsia="en-GB"/>
        </w:rPr>
        <w:t xml:space="preserve"> The college’s 1.3% ‘gap’ should be seen in the context that ten years ago (HR Annual report 2008/9) only 2.2% of staff declared a disability. </w:t>
      </w:r>
    </w:p>
    <w:p w:rsidR="00F33A38" w:rsidRDefault="00F33A38" w:rsidP="00F33A38">
      <w:pPr>
        <w:rPr>
          <w:noProof/>
          <w:lang w:eastAsia="en-GB"/>
        </w:rPr>
      </w:pPr>
      <w:r>
        <w:rPr>
          <w:noProof/>
          <w:lang w:eastAsia="en-GB"/>
        </w:rPr>
        <w:t>Assessed and accredited as a ‘Disability Confident Employer’ (replacing the disability ‘two ticks’ symbol), the College are committed to employing people with a disability. The College guarantees an interview for all applicants with a disability, recognised within the definition of the Equality Act, who meet the essential criteria for a job vacancy and assess them on their skills, experience and qualifications. Reasonable adjustments are offered at every stage of the Recruitment &amp; Selection process.</w:t>
      </w:r>
    </w:p>
    <w:p w:rsidR="00F33A38" w:rsidRDefault="00F33A38" w:rsidP="00F33A38">
      <w:pPr>
        <w:rPr>
          <w:noProof/>
          <w:lang w:eastAsia="en-GB"/>
        </w:rPr>
      </w:pPr>
      <w:r>
        <w:rPr>
          <w:noProof/>
          <w:lang w:eastAsia="en-GB"/>
        </w:rPr>
        <w:t>The College contract an Occupational Health provider who advise managers and staff with any issues or concerns they have regarding their disability, health and working env</w:t>
      </w:r>
      <w:r w:rsidR="00230857">
        <w:rPr>
          <w:noProof/>
          <w:lang w:eastAsia="en-GB"/>
        </w:rPr>
        <w:t>ironment. We are regular</w:t>
      </w:r>
      <w:r w:rsidR="009F2B74">
        <w:rPr>
          <w:noProof/>
          <w:lang w:eastAsia="en-GB"/>
        </w:rPr>
        <w:t>l</w:t>
      </w:r>
      <w:r w:rsidR="00230857">
        <w:rPr>
          <w:noProof/>
          <w:lang w:eastAsia="en-GB"/>
        </w:rPr>
        <w:t>y worki</w:t>
      </w:r>
      <w:r>
        <w:rPr>
          <w:noProof/>
          <w:lang w:eastAsia="en-GB"/>
        </w:rPr>
        <w:t>n</w:t>
      </w:r>
      <w:r w:rsidR="00230857">
        <w:rPr>
          <w:noProof/>
          <w:lang w:eastAsia="en-GB"/>
        </w:rPr>
        <w:t>g</w:t>
      </w:r>
      <w:r>
        <w:rPr>
          <w:noProof/>
          <w:lang w:eastAsia="en-GB"/>
        </w:rPr>
        <w:t xml:space="preserve"> with individual’s GPs, consultants and other agencies, such as Access to Work</w:t>
      </w:r>
      <w:r w:rsidR="00230857">
        <w:rPr>
          <w:noProof/>
          <w:lang w:eastAsia="en-GB"/>
        </w:rPr>
        <w:t>,</w:t>
      </w:r>
      <w:r>
        <w:rPr>
          <w:noProof/>
          <w:lang w:eastAsia="en-GB"/>
        </w:rPr>
        <w:t xml:space="preserve"> to support staff into and </w:t>
      </w:r>
      <w:r w:rsidR="00230857">
        <w:rPr>
          <w:noProof/>
          <w:lang w:eastAsia="en-GB"/>
        </w:rPr>
        <w:t>remain</w:t>
      </w:r>
      <w:r>
        <w:rPr>
          <w:noProof/>
          <w:lang w:eastAsia="en-GB"/>
        </w:rPr>
        <w:t xml:space="preserve"> in our employment.</w:t>
      </w:r>
    </w:p>
    <w:p w:rsidR="00EB2E3D" w:rsidRPr="00B56A54" w:rsidRDefault="00DE3216" w:rsidP="00EB2E3D">
      <w:pPr>
        <w:rPr>
          <w:noProof/>
          <w:u w:val="single"/>
          <w:lang w:eastAsia="en-GB"/>
        </w:rPr>
      </w:pPr>
      <w:r>
        <w:rPr>
          <w:noProof/>
          <w:u w:val="single"/>
          <w:lang w:eastAsia="en-GB"/>
        </w:rPr>
        <w:t>Ethnicity</w:t>
      </w:r>
    </w:p>
    <w:p w:rsidR="00B56A54" w:rsidRPr="00F62368" w:rsidRDefault="00B56A54" w:rsidP="00EB2E3D">
      <w:pPr>
        <w:rPr>
          <w:noProof/>
          <w:lang w:eastAsia="en-GB"/>
        </w:rPr>
      </w:pPr>
      <w:r w:rsidRPr="00F62368">
        <w:rPr>
          <w:noProof/>
          <w:lang w:eastAsia="en-GB"/>
        </w:rPr>
        <w:t xml:space="preserve">The college has a Black &amp; Minority Ethinicity (BME) rate of </w:t>
      </w:r>
      <w:r w:rsidR="00F62368">
        <w:rPr>
          <w:noProof/>
          <w:lang w:eastAsia="en-GB"/>
        </w:rPr>
        <w:t>6</w:t>
      </w:r>
      <w:r w:rsidR="00F62368" w:rsidRPr="00F62368">
        <w:rPr>
          <w:noProof/>
          <w:lang w:eastAsia="en-GB"/>
        </w:rPr>
        <w:t xml:space="preserve">%, compared to </w:t>
      </w:r>
      <w:r w:rsidR="00F62368">
        <w:rPr>
          <w:noProof/>
          <w:lang w:eastAsia="en-GB"/>
        </w:rPr>
        <w:t>5.6</w:t>
      </w:r>
      <w:r w:rsidR="00F62368" w:rsidRPr="00F62368">
        <w:rPr>
          <w:noProof/>
          <w:lang w:eastAsia="en-GB"/>
        </w:rPr>
        <w:t>% in 2016/17</w:t>
      </w:r>
      <w:r w:rsidR="00F62368">
        <w:rPr>
          <w:noProof/>
          <w:lang w:eastAsia="en-GB"/>
        </w:rPr>
        <w:t xml:space="preserve"> and 6.5% in 2015/16</w:t>
      </w:r>
      <w:r w:rsidR="008926B1">
        <w:rPr>
          <w:noProof/>
          <w:lang w:eastAsia="en-GB"/>
        </w:rPr>
        <w:t xml:space="preserve"> (t</w:t>
      </w:r>
      <w:r w:rsidR="00F62368">
        <w:rPr>
          <w:noProof/>
          <w:lang w:eastAsia="en-GB"/>
        </w:rPr>
        <w:t>hese minor changes can sometimes be accounted for by one individual either joining</w:t>
      </w:r>
      <w:r w:rsidR="00E50BAC">
        <w:rPr>
          <w:noProof/>
          <w:lang w:eastAsia="en-GB"/>
        </w:rPr>
        <w:t xml:space="preserve">,  leaving </w:t>
      </w:r>
      <w:r w:rsidR="000E7433">
        <w:rPr>
          <w:noProof/>
          <w:lang w:eastAsia="en-GB"/>
        </w:rPr>
        <w:t>the college or f</w:t>
      </w:r>
      <w:r w:rsidR="00F62368">
        <w:rPr>
          <w:noProof/>
          <w:lang w:eastAsia="en-GB"/>
        </w:rPr>
        <w:t xml:space="preserve">ailing to </w:t>
      </w:r>
      <w:r w:rsidR="008926B1">
        <w:rPr>
          <w:noProof/>
          <w:lang w:eastAsia="en-GB"/>
        </w:rPr>
        <w:t>disclose</w:t>
      </w:r>
      <w:r w:rsidR="00F62368">
        <w:rPr>
          <w:noProof/>
          <w:lang w:eastAsia="en-GB"/>
        </w:rPr>
        <w:t xml:space="preserve"> their ethnici</w:t>
      </w:r>
      <w:r w:rsidR="008926B1">
        <w:rPr>
          <w:noProof/>
          <w:lang w:eastAsia="en-GB"/>
        </w:rPr>
        <w:t>t</w:t>
      </w:r>
      <w:r w:rsidR="00F62368">
        <w:rPr>
          <w:noProof/>
          <w:lang w:eastAsia="en-GB"/>
        </w:rPr>
        <w:t>y</w:t>
      </w:r>
      <w:r w:rsidR="008926B1">
        <w:rPr>
          <w:noProof/>
          <w:lang w:eastAsia="en-GB"/>
        </w:rPr>
        <w:t>)</w:t>
      </w:r>
      <w:r w:rsidR="00F62368">
        <w:rPr>
          <w:noProof/>
          <w:lang w:eastAsia="en-GB"/>
        </w:rPr>
        <w:t xml:space="preserve">. </w:t>
      </w:r>
    </w:p>
    <w:p w:rsidR="00B56A54" w:rsidRPr="00B56A54" w:rsidRDefault="00B56A54" w:rsidP="00EB2E3D">
      <w:pPr>
        <w:rPr>
          <w:noProof/>
          <w:lang w:eastAsia="en-GB"/>
        </w:rPr>
      </w:pPr>
      <w:r w:rsidRPr="00B56A54">
        <w:rPr>
          <w:noProof/>
          <w:lang w:eastAsia="en-GB"/>
        </w:rPr>
        <w:t xml:space="preserve">Table 4. </w:t>
      </w:r>
    </w:p>
    <w:tbl>
      <w:tblPr>
        <w:tblW w:w="8924" w:type="dxa"/>
        <w:tblLook w:val="04A0" w:firstRow="1" w:lastRow="0" w:firstColumn="1" w:lastColumn="0" w:noHBand="0" w:noVBand="1"/>
      </w:tblPr>
      <w:tblGrid>
        <w:gridCol w:w="3964"/>
        <w:gridCol w:w="1560"/>
        <w:gridCol w:w="1701"/>
        <w:gridCol w:w="1699"/>
      </w:tblGrid>
      <w:tr w:rsidR="00B56A54" w:rsidRPr="00B56A54" w:rsidTr="00F62368">
        <w:trPr>
          <w:trHeight w:val="722"/>
        </w:trPr>
        <w:tc>
          <w:tcPr>
            <w:tcW w:w="3964" w:type="dxa"/>
            <w:tcBorders>
              <w:top w:val="single" w:sz="4" w:space="0" w:color="3877A6"/>
              <w:left w:val="single" w:sz="4" w:space="0" w:color="3877A6"/>
              <w:bottom w:val="nil"/>
              <w:right w:val="single" w:sz="4" w:space="0" w:color="3877A6"/>
            </w:tcBorders>
            <w:shd w:val="clear" w:color="auto" w:fill="95B3D7" w:themeFill="accent1" w:themeFillTint="99"/>
            <w:noWrap/>
            <w:vAlign w:val="bottom"/>
            <w:hideMark/>
          </w:tcPr>
          <w:p w:rsidR="00B56A54" w:rsidRPr="00B56A54" w:rsidRDefault="00B56A54" w:rsidP="00B56A54">
            <w:pPr>
              <w:spacing w:after="0" w:line="240" w:lineRule="auto"/>
              <w:rPr>
                <w:rFonts w:eastAsia="Times New Roman" w:cstheme="minorHAnsi"/>
                <w:b/>
                <w:bCs/>
                <w:lang w:eastAsia="en-GB"/>
              </w:rPr>
            </w:pPr>
            <w:r w:rsidRPr="00B56A54">
              <w:rPr>
                <w:rFonts w:eastAsia="Times New Roman" w:cstheme="minorHAnsi"/>
                <w:b/>
                <w:bCs/>
                <w:lang w:eastAsia="en-GB"/>
              </w:rPr>
              <w:t>Ethnic Origin</w:t>
            </w:r>
          </w:p>
        </w:tc>
        <w:tc>
          <w:tcPr>
            <w:tcW w:w="1560" w:type="dxa"/>
            <w:tcBorders>
              <w:top w:val="single" w:sz="4" w:space="0" w:color="3877A6"/>
              <w:left w:val="nil"/>
              <w:bottom w:val="single" w:sz="4" w:space="0" w:color="A5A5B1"/>
              <w:right w:val="single" w:sz="4" w:space="0" w:color="3877A6"/>
            </w:tcBorders>
            <w:shd w:val="clear" w:color="auto" w:fill="95B3D7" w:themeFill="accent1" w:themeFillTint="99"/>
            <w:noWrap/>
            <w:vAlign w:val="bottom"/>
            <w:hideMark/>
          </w:tcPr>
          <w:p w:rsidR="00B56A54" w:rsidRPr="00B56A54" w:rsidRDefault="00B56A54" w:rsidP="00B56A54">
            <w:pPr>
              <w:spacing w:after="0" w:line="240" w:lineRule="auto"/>
              <w:jc w:val="center"/>
              <w:rPr>
                <w:rFonts w:eastAsia="Times New Roman" w:cstheme="minorHAnsi"/>
                <w:b/>
                <w:bCs/>
                <w:lang w:eastAsia="en-GB"/>
              </w:rPr>
            </w:pPr>
            <w:r w:rsidRPr="00B56A54">
              <w:rPr>
                <w:rFonts w:eastAsia="Times New Roman" w:cstheme="minorHAnsi"/>
                <w:b/>
                <w:bCs/>
                <w:lang w:eastAsia="en-GB"/>
              </w:rPr>
              <w:t>2017-18</w:t>
            </w:r>
          </w:p>
        </w:tc>
        <w:tc>
          <w:tcPr>
            <w:tcW w:w="1701" w:type="dxa"/>
            <w:tcBorders>
              <w:top w:val="single" w:sz="4" w:space="0" w:color="3877A6"/>
              <w:left w:val="nil"/>
              <w:bottom w:val="single" w:sz="4" w:space="0" w:color="A5A5B1"/>
              <w:right w:val="single" w:sz="4" w:space="0" w:color="3877A6"/>
            </w:tcBorders>
            <w:shd w:val="clear" w:color="auto" w:fill="95B3D7" w:themeFill="accent1" w:themeFillTint="99"/>
            <w:noWrap/>
            <w:vAlign w:val="bottom"/>
            <w:hideMark/>
          </w:tcPr>
          <w:p w:rsidR="00B56A54" w:rsidRPr="00B56A54" w:rsidRDefault="00B56A54" w:rsidP="00B56A54">
            <w:pPr>
              <w:spacing w:after="0" w:line="240" w:lineRule="auto"/>
              <w:jc w:val="center"/>
              <w:rPr>
                <w:rFonts w:eastAsia="Times New Roman" w:cstheme="minorHAnsi"/>
                <w:b/>
                <w:bCs/>
                <w:lang w:eastAsia="en-GB"/>
              </w:rPr>
            </w:pPr>
            <w:r w:rsidRPr="00B56A54">
              <w:rPr>
                <w:rFonts w:eastAsia="Times New Roman" w:cstheme="minorHAnsi"/>
                <w:b/>
                <w:bCs/>
                <w:lang w:eastAsia="en-GB"/>
              </w:rPr>
              <w:t>2016-17</w:t>
            </w:r>
          </w:p>
        </w:tc>
        <w:tc>
          <w:tcPr>
            <w:tcW w:w="1699" w:type="dxa"/>
            <w:tcBorders>
              <w:top w:val="single" w:sz="4" w:space="0" w:color="3877A6"/>
              <w:left w:val="nil"/>
              <w:bottom w:val="single" w:sz="4" w:space="0" w:color="A5A5B1"/>
              <w:right w:val="single" w:sz="4" w:space="0" w:color="3877A6"/>
            </w:tcBorders>
            <w:shd w:val="clear" w:color="auto" w:fill="95B3D7" w:themeFill="accent1" w:themeFillTint="99"/>
            <w:noWrap/>
            <w:vAlign w:val="bottom"/>
            <w:hideMark/>
          </w:tcPr>
          <w:p w:rsidR="00B56A54" w:rsidRPr="00B56A54" w:rsidRDefault="00B56A54" w:rsidP="00B56A54">
            <w:pPr>
              <w:spacing w:after="0" w:line="240" w:lineRule="auto"/>
              <w:jc w:val="center"/>
              <w:rPr>
                <w:rFonts w:eastAsia="Times New Roman" w:cstheme="minorHAnsi"/>
                <w:b/>
                <w:bCs/>
                <w:lang w:eastAsia="en-GB"/>
              </w:rPr>
            </w:pPr>
            <w:r w:rsidRPr="00B56A54">
              <w:rPr>
                <w:rFonts w:eastAsia="Times New Roman" w:cstheme="minorHAnsi"/>
                <w:b/>
                <w:bCs/>
                <w:lang w:eastAsia="en-GB"/>
              </w:rPr>
              <w:t>2015-16</w:t>
            </w:r>
          </w:p>
        </w:tc>
      </w:tr>
      <w:tr w:rsidR="00B56A54" w:rsidRPr="00B56A54" w:rsidTr="00F62368">
        <w:trPr>
          <w:trHeight w:val="300"/>
        </w:trPr>
        <w:tc>
          <w:tcPr>
            <w:tcW w:w="3964" w:type="dxa"/>
            <w:tcBorders>
              <w:top w:val="single" w:sz="4" w:space="0" w:color="auto"/>
              <w:left w:val="single" w:sz="4" w:space="0" w:color="auto"/>
              <w:bottom w:val="single" w:sz="4" w:space="0" w:color="auto"/>
              <w:right w:val="single" w:sz="4" w:space="0" w:color="auto"/>
            </w:tcBorders>
            <w:shd w:val="clear" w:color="FFFFFF" w:fill="F8FBFC"/>
            <w:noWrap/>
            <w:vAlign w:val="bottom"/>
            <w:hideMark/>
          </w:tcPr>
          <w:p w:rsidR="00B56A54" w:rsidRPr="00B56A54" w:rsidRDefault="00B56A54" w:rsidP="00B56A54">
            <w:pPr>
              <w:spacing w:after="0" w:line="240" w:lineRule="auto"/>
              <w:rPr>
                <w:rFonts w:eastAsia="Times New Roman" w:cstheme="minorHAnsi"/>
                <w:color w:val="333333"/>
                <w:lang w:eastAsia="en-GB"/>
              </w:rPr>
            </w:pPr>
            <w:r w:rsidRPr="00B56A54">
              <w:rPr>
                <w:rFonts w:eastAsia="Times New Roman" w:cstheme="minorHAnsi"/>
                <w:color w:val="333333"/>
                <w:lang w:eastAsia="en-GB"/>
              </w:rPr>
              <w:t>Any other White background</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B56A54" w:rsidRPr="00B56A54" w:rsidRDefault="00B56A54" w:rsidP="00B56A54">
            <w:pPr>
              <w:spacing w:after="0" w:line="240" w:lineRule="auto"/>
              <w:jc w:val="right"/>
              <w:rPr>
                <w:rFonts w:eastAsia="Times New Roman" w:cstheme="minorHAnsi"/>
                <w:color w:val="000000"/>
                <w:lang w:eastAsia="en-GB"/>
              </w:rPr>
            </w:pPr>
            <w:r w:rsidRPr="00B56A54">
              <w:rPr>
                <w:rFonts w:eastAsia="Times New Roman" w:cstheme="minorHAnsi"/>
                <w:color w:val="000000"/>
                <w:lang w:eastAsia="en-GB"/>
              </w:rPr>
              <w:t>0.34%</w:t>
            </w:r>
          </w:p>
        </w:tc>
        <w:tc>
          <w:tcPr>
            <w:tcW w:w="1701" w:type="dxa"/>
            <w:tcBorders>
              <w:top w:val="single" w:sz="4" w:space="0" w:color="auto"/>
              <w:left w:val="nil"/>
              <w:bottom w:val="single" w:sz="4" w:space="0" w:color="auto"/>
              <w:right w:val="single" w:sz="4" w:space="0" w:color="auto"/>
            </w:tcBorders>
            <w:shd w:val="clear" w:color="FFFFFF" w:fill="F8FBFC"/>
            <w:noWrap/>
            <w:vAlign w:val="bottom"/>
            <w:hideMark/>
          </w:tcPr>
          <w:p w:rsidR="00B56A54" w:rsidRPr="00B56A54" w:rsidRDefault="00B56A54" w:rsidP="00B56A54">
            <w:pPr>
              <w:spacing w:after="0" w:line="240" w:lineRule="auto"/>
              <w:jc w:val="right"/>
              <w:rPr>
                <w:rFonts w:eastAsia="Times New Roman" w:cstheme="minorHAnsi"/>
                <w:color w:val="333333"/>
                <w:lang w:eastAsia="en-GB"/>
              </w:rPr>
            </w:pPr>
            <w:r w:rsidRPr="00B56A54">
              <w:rPr>
                <w:rFonts w:eastAsia="Times New Roman" w:cstheme="minorHAnsi"/>
                <w:color w:val="333333"/>
                <w:lang w:eastAsia="en-GB"/>
              </w:rPr>
              <w:t>1.10%</w:t>
            </w:r>
          </w:p>
        </w:tc>
        <w:tc>
          <w:tcPr>
            <w:tcW w:w="1699" w:type="dxa"/>
            <w:tcBorders>
              <w:top w:val="single" w:sz="4" w:space="0" w:color="auto"/>
              <w:left w:val="nil"/>
              <w:bottom w:val="single" w:sz="4" w:space="0" w:color="auto"/>
              <w:right w:val="single" w:sz="4" w:space="0" w:color="auto"/>
            </w:tcBorders>
            <w:shd w:val="clear" w:color="FFFFFF" w:fill="F8FBFC"/>
            <w:noWrap/>
            <w:vAlign w:val="bottom"/>
            <w:hideMark/>
          </w:tcPr>
          <w:p w:rsidR="00B56A54" w:rsidRPr="00B56A54" w:rsidRDefault="00B56A54" w:rsidP="00B56A54">
            <w:pPr>
              <w:spacing w:after="0" w:line="240" w:lineRule="auto"/>
              <w:jc w:val="right"/>
              <w:rPr>
                <w:rFonts w:eastAsia="Times New Roman" w:cstheme="minorHAnsi"/>
                <w:color w:val="333333"/>
                <w:lang w:eastAsia="en-GB"/>
              </w:rPr>
            </w:pPr>
            <w:r w:rsidRPr="00B56A54">
              <w:rPr>
                <w:rFonts w:eastAsia="Times New Roman" w:cstheme="minorHAnsi"/>
                <w:color w:val="333333"/>
                <w:lang w:eastAsia="en-GB"/>
              </w:rPr>
              <w:t>2.60%</w:t>
            </w:r>
          </w:p>
        </w:tc>
      </w:tr>
      <w:tr w:rsidR="00B56A54" w:rsidRPr="00B56A54" w:rsidTr="00F62368">
        <w:trPr>
          <w:trHeight w:val="300"/>
        </w:trPr>
        <w:tc>
          <w:tcPr>
            <w:tcW w:w="3964" w:type="dxa"/>
            <w:tcBorders>
              <w:top w:val="nil"/>
              <w:left w:val="single" w:sz="4" w:space="0" w:color="auto"/>
              <w:bottom w:val="single" w:sz="4" w:space="0" w:color="auto"/>
              <w:right w:val="single" w:sz="4" w:space="0" w:color="auto"/>
            </w:tcBorders>
            <w:shd w:val="clear" w:color="FFFFFF" w:fill="FFFFFF"/>
            <w:noWrap/>
            <w:vAlign w:val="bottom"/>
            <w:hideMark/>
          </w:tcPr>
          <w:p w:rsidR="00B56A54" w:rsidRPr="00B56A54" w:rsidRDefault="00B56A54" w:rsidP="00B56A54">
            <w:pPr>
              <w:spacing w:after="0" w:line="240" w:lineRule="auto"/>
              <w:rPr>
                <w:rFonts w:eastAsia="Times New Roman" w:cstheme="minorHAnsi"/>
                <w:color w:val="333333"/>
                <w:lang w:eastAsia="en-GB"/>
              </w:rPr>
            </w:pPr>
            <w:r w:rsidRPr="00B56A54">
              <w:rPr>
                <w:rFonts w:eastAsia="Times New Roman" w:cstheme="minorHAnsi"/>
                <w:color w:val="333333"/>
                <w:lang w:eastAsia="en-GB"/>
              </w:rPr>
              <w:t>Asian/Asian British - Chinese</w:t>
            </w:r>
          </w:p>
        </w:tc>
        <w:tc>
          <w:tcPr>
            <w:tcW w:w="1560" w:type="dxa"/>
            <w:tcBorders>
              <w:top w:val="nil"/>
              <w:left w:val="nil"/>
              <w:bottom w:val="single" w:sz="4" w:space="0" w:color="auto"/>
              <w:right w:val="single" w:sz="4" w:space="0" w:color="auto"/>
            </w:tcBorders>
            <w:shd w:val="clear" w:color="auto" w:fill="auto"/>
            <w:noWrap/>
            <w:vAlign w:val="bottom"/>
            <w:hideMark/>
          </w:tcPr>
          <w:p w:rsidR="00B56A54" w:rsidRPr="00B56A54" w:rsidRDefault="00B56A54" w:rsidP="00B56A54">
            <w:pPr>
              <w:spacing w:after="0" w:line="240" w:lineRule="auto"/>
              <w:jc w:val="right"/>
              <w:rPr>
                <w:rFonts w:eastAsia="Times New Roman" w:cstheme="minorHAnsi"/>
                <w:color w:val="000000"/>
                <w:lang w:eastAsia="en-GB"/>
              </w:rPr>
            </w:pPr>
            <w:r w:rsidRPr="00B56A54">
              <w:rPr>
                <w:rFonts w:eastAsia="Times New Roman" w:cstheme="minorHAnsi"/>
                <w:color w:val="000000"/>
                <w:lang w:eastAsia="en-GB"/>
              </w:rPr>
              <w:t>0.17%</w:t>
            </w:r>
          </w:p>
        </w:tc>
        <w:tc>
          <w:tcPr>
            <w:tcW w:w="1701" w:type="dxa"/>
            <w:tcBorders>
              <w:top w:val="nil"/>
              <w:left w:val="nil"/>
              <w:bottom w:val="single" w:sz="4" w:space="0" w:color="auto"/>
              <w:right w:val="single" w:sz="4" w:space="0" w:color="auto"/>
            </w:tcBorders>
            <w:shd w:val="clear" w:color="FFFFFF" w:fill="FFFFFF"/>
            <w:noWrap/>
            <w:vAlign w:val="bottom"/>
            <w:hideMark/>
          </w:tcPr>
          <w:p w:rsidR="00B56A54" w:rsidRPr="00B56A54" w:rsidRDefault="00B56A54" w:rsidP="00B56A54">
            <w:pPr>
              <w:spacing w:after="0" w:line="240" w:lineRule="auto"/>
              <w:jc w:val="right"/>
              <w:rPr>
                <w:rFonts w:eastAsia="Times New Roman" w:cstheme="minorHAnsi"/>
                <w:color w:val="333333"/>
                <w:lang w:eastAsia="en-GB"/>
              </w:rPr>
            </w:pPr>
            <w:r w:rsidRPr="00B56A54">
              <w:rPr>
                <w:rFonts w:eastAsia="Times New Roman" w:cstheme="minorHAnsi"/>
                <w:color w:val="333333"/>
                <w:lang w:eastAsia="en-GB"/>
              </w:rPr>
              <w:t>0.20%</w:t>
            </w:r>
          </w:p>
        </w:tc>
        <w:tc>
          <w:tcPr>
            <w:tcW w:w="1699" w:type="dxa"/>
            <w:tcBorders>
              <w:top w:val="nil"/>
              <w:left w:val="nil"/>
              <w:bottom w:val="single" w:sz="4" w:space="0" w:color="auto"/>
              <w:right w:val="single" w:sz="4" w:space="0" w:color="auto"/>
            </w:tcBorders>
            <w:shd w:val="clear" w:color="FFFFFF" w:fill="FFFFFF"/>
            <w:noWrap/>
            <w:vAlign w:val="bottom"/>
            <w:hideMark/>
          </w:tcPr>
          <w:p w:rsidR="00B56A54" w:rsidRPr="00B56A54" w:rsidRDefault="00B56A54" w:rsidP="00B56A54">
            <w:pPr>
              <w:spacing w:after="0" w:line="240" w:lineRule="auto"/>
              <w:jc w:val="right"/>
              <w:rPr>
                <w:rFonts w:eastAsia="Times New Roman" w:cstheme="minorHAnsi"/>
                <w:color w:val="333333"/>
                <w:lang w:eastAsia="en-GB"/>
              </w:rPr>
            </w:pPr>
            <w:r w:rsidRPr="00B56A54">
              <w:rPr>
                <w:rFonts w:eastAsia="Times New Roman" w:cstheme="minorHAnsi"/>
                <w:color w:val="333333"/>
                <w:lang w:eastAsia="en-GB"/>
              </w:rPr>
              <w:t>0.00%</w:t>
            </w:r>
          </w:p>
        </w:tc>
      </w:tr>
      <w:tr w:rsidR="00B56A54" w:rsidRPr="00B56A54" w:rsidTr="00F62368">
        <w:trPr>
          <w:trHeight w:val="300"/>
        </w:trPr>
        <w:tc>
          <w:tcPr>
            <w:tcW w:w="3964" w:type="dxa"/>
            <w:tcBorders>
              <w:top w:val="nil"/>
              <w:left w:val="single" w:sz="4" w:space="0" w:color="auto"/>
              <w:bottom w:val="single" w:sz="4" w:space="0" w:color="auto"/>
              <w:right w:val="single" w:sz="4" w:space="0" w:color="auto"/>
            </w:tcBorders>
            <w:shd w:val="clear" w:color="FFFFFF" w:fill="F8FBFC"/>
            <w:noWrap/>
            <w:vAlign w:val="bottom"/>
            <w:hideMark/>
          </w:tcPr>
          <w:p w:rsidR="00B56A54" w:rsidRPr="00B56A54" w:rsidRDefault="00B56A54" w:rsidP="00B56A54">
            <w:pPr>
              <w:spacing w:after="0" w:line="240" w:lineRule="auto"/>
              <w:rPr>
                <w:rFonts w:eastAsia="Times New Roman" w:cstheme="minorHAnsi"/>
                <w:color w:val="333333"/>
                <w:lang w:eastAsia="en-GB"/>
              </w:rPr>
            </w:pPr>
            <w:r w:rsidRPr="00B56A54">
              <w:rPr>
                <w:rFonts w:eastAsia="Times New Roman" w:cstheme="minorHAnsi"/>
                <w:color w:val="333333"/>
                <w:lang w:eastAsia="en-GB"/>
              </w:rPr>
              <w:t>Asian/Asian British - Pakistani</w:t>
            </w:r>
          </w:p>
        </w:tc>
        <w:tc>
          <w:tcPr>
            <w:tcW w:w="1560" w:type="dxa"/>
            <w:tcBorders>
              <w:top w:val="nil"/>
              <w:left w:val="nil"/>
              <w:bottom w:val="single" w:sz="4" w:space="0" w:color="auto"/>
              <w:right w:val="single" w:sz="4" w:space="0" w:color="auto"/>
            </w:tcBorders>
            <w:shd w:val="clear" w:color="auto" w:fill="auto"/>
            <w:noWrap/>
            <w:vAlign w:val="bottom"/>
            <w:hideMark/>
          </w:tcPr>
          <w:p w:rsidR="00B56A54" w:rsidRPr="00B56A54" w:rsidRDefault="00B56A54" w:rsidP="00B56A54">
            <w:pPr>
              <w:spacing w:after="0" w:line="240" w:lineRule="auto"/>
              <w:jc w:val="right"/>
              <w:rPr>
                <w:rFonts w:eastAsia="Times New Roman" w:cstheme="minorHAnsi"/>
                <w:color w:val="000000"/>
                <w:lang w:eastAsia="en-GB"/>
              </w:rPr>
            </w:pPr>
            <w:r w:rsidRPr="00B56A54">
              <w:rPr>
                <w:rFonts w:eastAsia="Times New Roman" w:cstheme="minorHAnsi"/>
                <w:color w:val="000000"/>
                <w:lang w:eastAsia="en-GB"/>
              </w:rPr>
              <w:t>0.34%</w:t>
            </w:r>
          </w:p>
        </w:tc>
        <w:tc>
          <w:tcPr>
            <w:tcW w:w="1701" w:type="dxa"/>
            <w:tcBorders>
              <w:top w:val="nil"/>
              <w:left w:val="nil"/>
              <w:bottom w:val="single" w:sz="4" w:space="0" w:color="auto"/>
              <w:right w:val="single" w:sz="4" w:space="0" w:color="auto"/>
            </w:tcBorders>
            <w:shd w:val="clear" w:color="FFFFFF" w:fill="FFFFFF"/>
            <w:noWrap/>
            <w:vAlign w:val="bottom"/>
            <w:hideMark/>
          </w:tcPr>
          <w:p w:rsidR="00B56A54" w:rsidRPr="00B56A54" w:rsidRDefault="00B56A54" w:rsidP="00B56A54">
            <w:pPr>
              <w:spacing w:after="0" w:line="240" w:lineRule="auto"/>
              <w:jc w:val="right"/>
              <w:rPr>
                <w:rFonts w:eastAsia="Times New Roman" w:cstheme="minorHAnsi"/>
                <w:color w:val="333333"/>
                <w:lang w:eastAsia="en-GB"/>
              </w:rPr>
            </w:pPr>
            <w:r w:rsidRPr="00B56A54">
              <w:rPr>
                <w:rFonts w:eastAsia="Times New Roman" w:cstheme="minorHAnsi"/>
                <w:color w:val="333333"/>
                <w:lang w:eastAsia="en-GB"/>
              </w:rPr>
              <w:t>0.20%</w:t>
            </w:r>
          </w:p>
        </w:tc>
        <w:tc>
          <w:tcPr>
            <w:tcW w:w="1699" w:type="dxa"/>
            <w:tcBorders>
              <w:top w:val="nil"/>
              <w:left w:val="nil"/>
              <w:bottom w:val="single" w:sz="4" w:space="0" w:color="auto"/>
              <w:right w:val="single" w:sz="4" w:space="0" w:color="auto"/>
            </w:tcBorders>
            <w:shd w:val="clear" w:color="FFFFFF" w:fill="F8FBFC"/>
            <w:noWrap/>
            <w:vAlign w:val="bottom"/>
            <w:hideMark/>
          </w:tcPr>
          <w:p w:rsidR="00B56A54" w:rsidRPr="00B56A54" w:rsidRDefault="00B56A54" w:rsidP="00B56A54">
            <w:pPr>
              <w:spacing w:after="0" w:line="240" w:lineRule="auto"/>
              <w:jc w:val="right"/>
              <w:rPr>
                <w:rFonts w:eastAsia="Times New Roman" w:cstheme="minorHAnsi"/>
                <w:color w:val="333333"/>
                <w:lang w:eastAsia="en-GB"/>
              </w:rPr>
            </w:pPr>
            <w:r w:rsidRPr="00B56A54">
              <w:rPr>
                <w:rFonts w:eastAsia="Times New Roman" w:cstheme="minorHAnsi"/>
                <w:color w:val="333333"/>
                <w:lang w:eastAsia="en-GB"/>
              </w:rPr>
              <w:t>0.40%</w:t>
            </w:r>
          </w:p>
        </w:tc>
      </w:tr>
      <w:tr w:rsidR="00B56A54" w:rsidRPr="00B56A54" w:rsidTr="00F62368">
        <w:trPr>
          <w:trHeight w:val="300"/>
        </w:trPr>
        <w:tc>
          <w:tcPr>
            <w:tcW w:w="3964" w:type="dxa"/>
            <w:tcBorders>
              <w:top w:val="nil"/>
              <w:left w:val="single" w:sz="4" w:space="0" w:color="auto"/>
              <w:bottom w:val="single" w:sz="4" w:space="0" w:color="auto"/>
              <w:right w:val="single" w:sz="4" w:space="0" w:color="auto"/>
            </w:tcBorders>
            <w:shd w:val="clear" w:color="FFFFFF" w:fill="FFFFFF"/>
            <w:noWrap/>
            <w:vAlign w:val="bottom"/>
            <w:hideMark/>
          </w:tcPr>
          <w:p w:rsidR="00B56A54" w:rsidRPr="00B56A54" w:rsidRDefault="00B56A54" w:rsidP="00B56A54">
            <w:pPr>
              <w:spacing w:after="0" w:line="240" w:lineRule="auto"/>
              <w:rPr>
                <w:rFonts w:eastAsia="Times New Roman" w:cstheme="minorHAnsi"/>
                <w:color w:val="333333"/>
                <w:lang w:eastAsia="en-GB"/>
              </w:rPr>
            </w:pPr>
            <w:r w:rsidRPr="00B56A54">
              <w:rPr>
                <w:rFonts w:eastAsia="Times New Roman" w:cstheme="minorHAnsi"/>
                <w:color w:val="333333"/>
                <w:lang w:eastAsia="en-GB"/>
              </w:rPr>
              <w:t>Black/African/Caribbean/British- Car</w:t>
            </w:r>
          </w:p>
        </w:tc>
        <w:tc>
          <w:tcPr>
            <w:tcW w:w="1560" w:type="dxa"/>
            <w:tcBorders>
              <w:top w:val="nil"/>
              <w:left w:val="nil"/>
              <w:bottom w:val="single" w:sz="4" w:space="0" w:color="auto"/>
              <w:right w:val="single" w:sz="4" w:space="0" w:color="auto"/>
            </w:tcBorders>
            <w:shd w:val="clear" w:color="auto" w:fill="auto"/>
            <w:noWrap/>
            <w:vAlign w:val="bottom"/>
            <w:hideMark/>
          </w:tcPr>
          <w:p w:rsidR="00B56A54" w:rsidRPr="00B56A54" w:rsidRDefault="00B56A54" w:rsidP="00B56A54">
            <w:pPr>
              <w:spacing w:after="0" w:line="240" w:lineRule="auto"/>
              <w:jc w:val="right"/>
              <w:rPr>
                <w:rFonts w:eastAsia="Times New Roman" w:cstheme="minorHAnsi"/>
                <w:color w:val="000000"/>
                <w:lang w:eastAsia="en-GB"/>
              </w:rPr>
            </w:pPr>
            <w:r w:rsidRPr="00B56A54">
              <w:rPr>
                <w:rFonts w:eastAsia="Times New Roman" w:cstheme="minorHAnsi"/>
                <w:color w:val="000000"/>
                <w:lang w:eastAsia="en-GB"/>
              </w:rPr>
              <w:t>0.50%</w:t>
            </w:r>
          </w:p>
        </w:tc>
        <w:tc>
          <w:tcPr>
            <w:tcW w:w="1701" w:type="dxa"/>
            <w:tcBorders>
              <w:top w:val="nil"/>
              <w:left w:val="nil"/>
              <w:bottom w:val="single" w:sz="4" w:space="0" w:color="auto"/>
              <w:right w:val="single" w:sz="4" w:space="0" w:color="auto"/>
            </w:tcBorders>
            <w:shd w:val="clear" w:color="FFFFFF" w:fill="FFFFFF"/>
            <w:noWrap/>
            <w:vAlign w:val="bottom"/>
            <w:hideMark/>
          </w:tcPr>
          <w:p w:rsidR="00B56A54" w:rsidRPr="00B56A54" w:rsidRDefault="00B56A54" w:rsidP="00B56A54">
            <w:pPr>
              <w:spacing w:after="0" w:line="240" w:lineRule="auto"/>
              <w:jc w:val="right"/>
              <w:rPr>
                <w:rFonts w:eastAsia="Times New Roman" w:cstheme="minorHAnsi"/>
                <w:color w:val="333333"/>
                <w:lang w:eastAsia="en-GB"/>
              </w:rPr>
            </w:pPr>
            <w:r w:rsidRPr="00B56A54">
              <w:rPr>
                <w:rFonts w:eastAsia="Times New Roman" w:cstheme="minorHAnsi"/>
                <w:color w:val="333333"/>
                <w:lang w:eastAsia="en-GB"/>
              </w:rPr>
              <w:t>0.50%</w:t>
            </w:r>
          </w:p>
        </w:tc>
        <w:tc>
          <w:tcPr>
            <w:tcW w:w="1699" w:type="dxa"/>
            <w:tcBorders>
              <w:top w:val="nil"/>
              <w:left w:val="nil"/>
              <w:bottom w:val="single" w:sz="4" w:space="0" w:color="auto"/>
              <w:right w:val="single" w:sz="4" w:space="0" w:color="auto"/>
            </w:tcBorders>
            <w:shd w:val="clear" w:color="FFFFFF" w:fill="FFFFFF"/>
            <w:noWrap/>
            <w:vAlign w:val="bottom"/>
            <w:hideMark/>
          </w:tcPr>
          <w:p w:rsidR="00B56A54" w:rsidRPr="00B56A54" w:rsidRDefault="00B56A54" w:rsidP="00B56A54">
            <w:pPr>
              <w:spacing w:after="0" w:line="240" w:lineRule="auto"/>
              <w:jc w:val="right"/>
              <w:rPr>
                <w:rFonts w:eastAsia="Times New Roman" w:cstheme="minorHAnsi"/>
                <w:color w:val="333333"/>
                <w:lang w:eastAsia="en-GB"/>
              </w:rPr>
            </w:pPr>
            <w:r w:rsidRPr="00B56A54">
              <w:rPr>
                <w:rFonts w:eastAsia="Times New Roman" w:cstheme="minorHAnsi"/>
                <w:color w:val="333333"/>
                <w:lang w:eastAsia="en-GB"/>
              </w:rPr>
              <w:t>0.00%</w:t>
            </w:r>
          </w:p>
        </w:tc>
      </w:tr>
      <w:tr w:rsidR="00B56A54" w:rsidRPr="00B56A54" w:rsidTr="00F62368">
        <w:trPr>
          <w:trHeight w:val="300"/>
        </w:trPr>
        <w:tc>
          <w:tcPr>
            <w:tcW w:w="3964" w:type="dxa"/>
            <w:tcBorders>
              <w:top w:val="nil"/>
              <w:left w:val="single" w:sz="4" w:space="0" w:color="auto"/>
              <w:bottom w:val="single" w:sz="4" w:space="0" w:color="auto"/>
              <w:right w:val="single" w:sz="4" w:space="0" w:color="auto"/>
            </w:tcBorders>
            <w:shd w:val="clear" w:color="FFFFFF" w:fill="FFFFFF"/>
            <w:noWrap/>
            <w:vAlign w:val="bottom"/>
            <w:hideMark/>
          </w:tcPr>
          <w:p w:rsidR="00B56A54" w:rsidRPr="00B56A54" w:rsidRDefault="00B56A54" w:rsidP="00B56A54">
            <w:pPr>
              <w:spacing w:after="0" w:line="240" w:lineRule="auto"/>
              <w:rPr>
                <w:rFonts w:eastAsia="Times New Roman" w:cstheme="minorHAnsi"/>
                <w:color w:val="333333"/>
                <w:lang w:eastAsia="en-GB"/>
              </w:rPr>
            </w:pPr>
            <w:r w:rsidRPr="00B56A54">
              <w:rPr>
                <w:rFonts w:eastAsia="Times New Roman" w:cstheme="minorHAnsi"/>
                <w:color w:val="333333"/>
                <w:lang w:eastAsia="en-GB"/>
              </w:rPr>
              <w:t>Mixed/Multiple ethnic groups - Any other</w:t>
            </w:r>
          </w:p>
        </w:tc>
        <w:tc>
          <w:tcPr>
            <w:tcW w:w="1560" w:type="dxa"/>
            <w:tcBorders>
              <w:top w:val="nil"/>
              <w:left w:val="nil"/>
              <w:bottom w:val="single" w:sz="4" w:space="0" w:color="auto"/>
              <w:right w:val="single" w:sz="4" w:space="0" w:color="auto"/>
            </w:tcBorders>
            <w:shd w:val="clear" w:color="auto" w:fill="auto"/>
            <w:noWrap/>
            <w:vAlign w:val="bottom"/>
            <w:hideMark/>
          </w:tcPr>
          <w:p w:rsidR="00B56A54" w:rsidRPr="00B56A54" w:rsidRDefault="00B56A54" w:rsidP="00B56A54">
            <w:pPr>
              <w:spacing w:after="0" w:line="240" w:lineRule="auto"/>
              <w:jc w:val="right"/>
              <w:rPr>
                <w:rFonts w:eastAsia="Times New Roman" w:cstheme="minorHAnsi"/>
                <w:color w:val="000000"/>
                <w:lang w:eastAsia="en-GB"/>
              </w:rPr>
            </w:pPr>
            <w:r w:rsidRPr="00B56A54">
              <w:rPr>
                <w:rFonts w:eastAsia="Times New Roman" w:cstheme="minorHAnsi"/>
                <w:color w:val="000000"/>
                <w:lang w:eastAsia="en-GB"/>
              </w:rPr>
              <w:t>0.17%</w:t>
            </w:r>
          </w:p>
        </w:tc>
        <w:tc>
          <w:tcPr>
            <w:tcW w:w="1701" w:type="dxa"/>
            <w:tcBorders>
              <w:top w:val="nil"/>
              <w:left w:val="nil"/>
              <w:bottom w:val="single" w:sz="4" w:space="0" w:color="auto"/>
              <w:right w:val="single" w:sz="4" w:space="0" w:color="auto"/>
            </w:tcBorders>
            <w:shd w:val="clear" w:color="FFFFFF" w:fill="FFFFFF"/>
            <w:noWrap/>
            <w:vAlign w:val="bottom"/>
            <w:hideMark/>
          </w:tcPr>
          <w:p w:rsidR="00B56A54" w:rsidRPr="00B56A54" w:rsidRDefault="00B56A54" w:rsidP="00B56A54">
            <w:pPr>
              <w:spacing w:after="0" w:line="240" w:lineRule="auto"/>
              <w:jc w:val="right"/>
              <w:rPr>
                <w:rFonts w:eastAsia="Times New Roman" w:cstheme="minorHAnsi"/>
                <w:color w:val="333333"/>
                <w:lang w:eastAsia="en-GB"/>
              </w:rPr>
            </w:pPr>
            <w:r w:rsidRPr="00B56A54">
              <w:rPr>
                <w:rFonts w:eastAsia="Times New Roman" w:cstheme="minorHAnsi"/>
                <w:color w:val="333333"/>
                <w:lang w:eastAsia="en-GB"/>
              </w:rPr>
              <w:t>0.70%</w:t>
            </w:r>
          </w:p>
        </w:tc>
        <w:tc>
          <w:tcPr>
            <w:tcW w:w="1699" w:type="dxa"/>
            <w:tcBorders>
              <w:top w:val="nil"/>
              <w:left w:val="nil"/>
              <w:bottom w:val="single" w:sz="4" w:space="0" w:color="auto"/>
              <w:right w:val="single" w:sz="4" w:space="0" w:color="auto"/>
            </w:tcBorders>
            <w:shd w:val="clear" w:color="FFFFFF" w:fill="FFFFFF"/>
            <w:noWrap/>
            <w:vAlign w:val="bottom"/>
            <w:hideMark/>
          </w:tcPr>
          <w:p w:rsidR="00B56A54" w:rsidRPr="00B56A54" w:rsidRDefault="00B56A54" w:rsidP="00B56A54">
            <w:pPr>
              <w:spacing w:after="0" w:line="240" w:lineRule="auto"/>
              <w:jc w:val="right"/>
              <w:rPr>
                <w:rFonts w:eastAsia="Times New Roman" w:cstheme="minorHAnsi"/>
                <w:color w:val="333333"/>
                <w:lang w:eastAsia="en-GB"/>
              </w:rPr>
            </w:pPr>
            <w:r w:rsidRPr="00B56A54">
              <w:rPr>
                <w:rFonts w:eastAsia="Times New Roman" w:cstheme="minorHAnsi"/>
                <w:color w:val="333333"/>
                <w:lang w:eastAsia="en-GB"/>
              </w:rPr>
              <w:t>0.00%</w:t>
            </w:r>
          </w:p>
        </w:tc>
      </w:tr>
      <w:tr w:rsidR="00B56A54" w:rsidRPr="00B56A54" w:rsidTr="00F62368">
        <w:trPr>
          <w:trHeight w:val="300"/>
        </w:trPr>
        <w:tc>
          <w:tcPr>
            <w:tcW w:w="3964" w:type="dxa"/>
            <w:tcBorders>
              <w:top w:val="nil"/>
              <w:left w:val="single" w:sz="4" w:space="0" w:color="auto"/>
              <w:bottom w:val="single" w:sz="4" w:space="0" w:color="auto"/>
              <w:right w:val="single" w:sz="4" w:space="0" w:color="auto"/>
            </w:tcBorders>
            <w:shd w:val="clear" w:color="FFFFFF" w:fill="F8FBFC"/>
            <w:noWrap/>
            <w:vAlign w:val="bottom"/>
            <w:hideMark/>
          </w:tcPr>
          <w:p w:rsidR="00B56A54" w:rsidRPr="00B56A54" w:rsidRDefault="00B56A54" w:rsidP="00B56A54">
            <w:pPr>
              <w:spacing w:after="0" w:line="240" w:lineRule="auto"/>
              <w:rPr>
                <w:rFonts w:eastAsia="Times New Roman" w:cstheme="minorHAnsi"/>
                <w:color w:val="333333"/>
                <w:lang w:eastAsia="en-GB"/>
              </w:rPr>
            </w:pPr>
            <w:r w:rsidRPr="00B56A54">
              <w:rPr>
                <w:rFonts w:eastAsia="Times New Roman" w:cstheme="minorHAnsi"/>
                <w:color w:val="333333"/>
                <w:lang w:eastAsia="en-GB"/>
              </w:rPr>
              <w:t>Mixed/Multiple - White and Black African</w:t>
            </w:r>
          </w:p>
        </w:tc>
        <w:tc>
          <w:tcPr>
            <w:tcW w:w="1560" w:type="dxa"/>
            <w:tcBorders>
              <w:top w:val="nil"/>
              <w:left w:val="nil"/>
              <w:bottom w:val="single" w:sz="4" w:space="0" w:color="auto"/>
              <w:right w:val="single" w:sz="4" w:space="0" w:color="auto"/>
            </w:tcBorders>
            <w:shd w:val="clear" w:color="auto" w:fill="auto"/>
            <w:noWrap/>
            <w:vAlign w:val="bottom"/>
            <w:hideMark/>
          </w:tcPr>
          <w:p w:rsidR="00B56A54" w:rsidRPr="00B56A54" w:rsidRDefault="00B56A54" w:rsidP="00B56A54">
            <w:pPr>
              <w:spacing w:after="0" w:line="240" w:lineRule="auto"/>
              <w:jc w:val="right"/>
              <w:rPr>
                <w:rFonts w:eastAsia="Times New Roman" w:cstheme="minorHAnsi"/>
                <w:color w:val="000000"/>
                <w:lang w:eastAsia="en-GB"/>
              </w:rPr>
            </w:pPr>
            <w:r w:rsidRPr="00B56A54">
              <w:rPr>
                <w:rFonts w:eastAsia="Times New Roman" w:cstheme="minorHAnsi"/>
                <w:color w:val="000000"/>
                <w:lang w:eastAsia="en-GB"/>
              </w:rPr>
              <w:t>0.17%</w:t>
            </w:r>
          </w:p>
        </w:tc>
        <w:tc>
          <w:tcPr>
            <w:tcW w:w="1701" w:type="dxa"/>
            <w:tcBorders>
              <w:top w:val="nil"/>
              <w:left w:val="nil"/>
              <w:bottom w:val="single" w:sz="4" w:space="0" w:color="auto"/>
              <w:right w:val="single" w:sz="4" w:space="0" w:color="auto"/>
            </w:tcBorders>
            <w:shd w:val="clear" w:color="FFFFFF" w:fill="F8FBFC"/>
            <w:noWrap/>
            <w:vAlign w:val="bottom"/>
            <w:hideMark/>
          </w:tcPr>
          <w:p w:rsidR="00B56A54" w:rsidRPr="00B56A54" w:rsidRDefault="00B56A54" w:rsidP="00B56A54">
            <w:pPr>
              <w:spacing w:after="0" w:line="240" w:lineRule="auto"/>
              <w:jc w:val="right"/>
              <w:rPr>
                <w:rFonts w:eastAsia="Times New Roman" w:cstheme="minorHAnsi"/>
                <w:color w:val="333333"/>
                <w:lang w:eastAsia="en-GB"/>
              </w:rPr>
            </w:pPr>
            <w:r w:rsidRPr="00B56A54">
              <w:rPr>
                <w:rFonts w:eastAsia="Times New Roman" w:cstheme="minorHAnsi"/>
                <w:color w:val="333333"/>
                <w:lang w:eastAsia="en-GB"/>
              </w:rPr>
              <w:t>0.40%</w:t>
            </w:r>
          </w:p>
        </w:tc>
        <w:tc>
          <w:tcPr>
            <w:tcW w:w="1699" w:type="dxa"/>
            <w:tcBorders>
              <w:top w:val="nil"/>
              <w:left w:val="nil"/>
              <w:bottom w:val="single" w:sz="4" w:space="0" w:color="auto"/>
              <w:right w:val="single" w:sz="4" w:space="0" w:color="auto"/>
            </w:tcBorders>
            <w:shd w:val="clear" w:color="FFFFFF" w:fill="F8FBFC"/>
            <w:noWrap/>
            <w:vAlign w:val="bottom"/>
            <w:hideMark/>
          </w:tcPr>
          <w:p w:rsidR="00B56A54" w:rsidRPr="00B56A54" w:rsidRDefault="00B56A54" w:rsidP="00B56A54">
            <w:pPr>
              <w:spacing w:after="0" w:line="240" w:lineRule="auto"/>
              <w:jc w:val="right"/>
              <w:rPr>
                <w:rFonts w:eastAsia="Times New Roman" w:cstheme="minorHAnsi"/>
                <w:color w:val="333333"/>
                <w:lang w:eastAsia="en-GB"/>
              </w:rPr>
            </w:pPr>
            <w:r w:rsidRPr="00B56A54">
              <w:rPr>
                <w:rFonts w:eastAsia="Times New Roman" w:cstheme="minorHAnsi"/>
                <w:color w:val="333333"/>
                <w:lang w:eastAsia="en-GB"/>
              </w:rPr>
              <w:t>0.30%</w:t>
            </w:r>
          </w:p>
        </w:tc>
      </w:tr>
      <w:tr w:rsidR="00B56A54" w:rsidRPr="00B56A54" w:rsidTr="00F62368">
        <w:trPr>
          <w:trHeight w:val="300"/>
        </w:trPr>
        <w:tc>
          <w:tcPr>
            <w:tcW w:w="3964" w:type="dxa"/>
            <w:tcBorders>
              <w:top w:val="nil"/>
              <w:left w:val="single" w:sz="4" w:space="0" w:color="auto"/>
              <w:bottom w:val="single" w:sz="4" w:space="0" w:color="auto"/>
              <w:right w:val="single" w:sz="4" w:space="0" w:color="auto"/>
            </w:tcBorders>
            <w:shd w:val="clear" w:color="FFFFFF" w:fill="FFFFFF"/>
            <w:noWrap/>
            <w:vAlign w:val="bottom"/>
            <w:hideMark/>
          </w:tcPr>
          <w:p w:rsidR="00B56A54" w:rsidRPr="00B56A54" w:rsidRDefault="00B56A54" w:rsidP="00B56A54">
            <w:pPr>
              <w:spacing w:after="0" w:line="240" w:lineRule="auto"/>
              <w:rPr>
                <w:rFonts w:eastAsia="Times New Roman" w:cstheme="minorHAnsi"/>
                <w:color w:val="333333"/>
                <w:lang w:eastAsia="en-GB"/>
              </w:rPr>
            </w:pPr>
            <w:r w:rsidRPr="00B56A54">
              <w:rPr>
                <w:rFonts w:eastAsia="Times New Roman" w:cstheme="minorHAnsi"/>
                <w:color w:val="333333"/>
                <w:lang w:eastAsia="en-GB"/>
              </w:rPr>
              <w:t>Mixed/Multiple - White and Black Carib</w:t>
            </w:r>
          </w:p>
        </w:tc>
        <w:tc>
          <w:tcPr>
            <w:tcW w:w="1560" w:type="dxa"/>
            <w:tcBorders>
              <w:top w:val="nil"/>
              <w:left w:val="nil"/>
              <w:bottom w:val="single" w:sz="4" w:space="0" w:color="auto"/>
              <w:right w:val="single" w:sz="4" w:space="0" w:color="auto"/>
            </w:tcBorders>
            <w:shd w:val="clear" w:color="auto" w:fill="auto"/>
            <w:noWrap/>
            <w:vAlign w:val="bottom"/>
            <w:hideMark/>
          </w:tcPr>
          <w:p w:rsidR="00B56A54" w:rsidRPr="00B56A54" w:rsidRDefault="00B56A54" w:rsidP="00B56A54">
            <w:pPr>
              <w:spacing w:after="0" w:line="240" w:lineRule="auto"/>
              <w:jc w:val="right"/>
              <w:rPr>
                <w:rFonts w:eastAsia="Times New Roman" w:cstheme="minorHAnsi"/>
                <w:color w:val="000000"/>
                <w:lang w:eastAsia="en-GB"/>
              </w:rPr>
            </w:pPr>
            <w:r w:rsidRPr="00B56A54">
              <w:rPr>
                <w:rFonts w:eastAsia="Times New Roman" w:cstheme="minorHAnsi"/>
                <w:color w:val="000000"/>
                <w:lang w:eastAsia="en-GB"/>
              </w:rPr>
              <w:t>0.84%</w:t>
            </w:r>
          </w:p>
        </w:tc>
        <w:tc>
          <w:tcPr>
            <w:tcW w:w="1701" w:type="dxa"/>
            <w:tcBorders>
              <w:top w:val="nil"/>
              <w:left w:val="nil"/>
              <w:bottom w:val="single" w:sz="4" w:space="0" w:color="auto"/>
              <w:right w:val="single" w:sz="4" w:space="0" w:color="auto"/>
            </w:tcBorders>
            <w:shd w:val="clear" w:color="FFFFFF" w:fill="FFFFFF"/>
            <w:noWrap/>
            <w:vAlign w:val="bottom"/>
            <w:hideMark/>
          </w:tcPr>
          <w:p w:rsidR="00B56A54" w:rsidRPr="00B56A54" w:rsidRDefault="00B56A54" w:rsidP="00B56A54">
            <w:pPr>
              <w:spacing w:after="0" w:line="240" w:lineRule="auto"/>
              <w:jc w:val="right"/>
              <w:rPr>
                <w:rFonts w:eastAsia="Times New Roman" w:cstheme="minorHAnsi"/>
                <w:color w:val="333333"/>
                <w:lang w:eastAsia="en-GB"/>
              </w:rPr>
            </w:pPr>
            <w:r w:rsidRPr="00B56A54">
              <w:rPr>
                <w:rFonts w:eastAsia="Times New Roman" w:cstheme="minorHAnsi"/>
                <w:color w:val="333333"/>
                <w:lang w:eastAsia="en-GB"/>
              </w:rPr>
              <w:t>0.40%</w:t>
            </w:r>
          </w:p>
        </w:tc>
        <w:tc>
          <w:tcPr>
            <w:tcW w:w="1699" w:type="dxa"/>
            <w:tcBorders>
              <w:top w:val="nil"/>
              <w:left w:val="nil"/>
              <w:bottom w:val="single" w:sz="4" w:space="0" w:color="auto"/>
              <w:right w:val="single" w:sz="4" w:space="0" w:color="auto"/>
            </w:tcBorders>
            <w:shd w:val="clear" w:color="FFFFFF" w:fill="FFFFFF"/>
            <w:noWrap/>
            <w:vAlign w:val="bottom"/>
            <w:hideMark/>
          </w:tcPr>
          <w:p w:rsidR="00B56A54" w:rsidRPr="00B56A54" w:rsidRDefault="00B56A54" w:rsidP="00B56A54">
            <w:pPr>
              <w:spacing w:after="0" w:line="240" w:lineRule="auto"/>
              <w:jc w:val="right"/>
              <w:rPr>
                <w:rFonts w:eastAsia="Times New Roman" w:cstheme="minorHAnsi"/>
                <w:color w:val="333333"/>
                <w:lang w:eastAsia="en-GB"/>
              </w:rPr>
            </w:pPr>
            <w:r w:rsidRPr="00B56A54">
              <w:rPr>
                <w:rFonts w:eastAsia="Times New Roman" w:cstheme="minorHAnsi"/>
                <w:color w:val="333333"/>
                <w:lang w:eastAsia="en-GB"/>
              </w:rPr>
              <w:t>1.00%</w:t>
            </w:r>
          </w:p>
        </w:tc>
      </w:tr>
      <w:tr w:rsidR="00B56A54" w:rsidRPr="00B56A54" w:rsidTr="00F62368">
        <w:trPr>
          <w:trHeight w:val="300"/>
        </w:trPr>
        <w:tc>
          <w:tcPr>
            <w:tcW w:w="3964" w:type="dxa"/>
            <w:tcBorders>
              <w:top w:val="nil"/>
              <w:left w:val="single" w:sz="4" w:space="0" w:color="auto"/>
              <w:bottom w:val="single" w:sz="4" w:space="0" w:color="auto"/>
              <w:right w:val="single" w:sz="4" w:space="0" w:color="auto"/>
            </w:tcBorders>
            <w:shd w:val="clear" w:color="FFFFFF" w:fill="F8FBFC"/>
            <w:noWrap/>
            <w:vAlign w:val="bottom"/>
            <w:hideMark/>
          </w:tcPr>
          <w:p w:rsidR="00B56A54" w:rsidRPr="00B56A54" w:rsidRDefault="00B56A54" w:rsidP="00B56A54">
            <w:pPr>
              <w:spacing w:after="0" w:line="240" w:lineRule="auto"/>
              <w:rPr>
                <w:rFonts w:eastAsia="Times New Roman" w:cstheme="minorHAnsi"/>
                <w:color w:val="333333"/>
                <w:lang w:eastAsia="en-GB"/>
              </w:rPr>
            </w:pPr>
            <w:r w:rsidRPr="00B56A54">
              <w:rPr>
                <w:rFonts w:eastAsia="Times New Roman" w:cstheme="minorHAnsi"/>
                <w:color w:val="333333"/>
                <w:lang w:eastAsia="en-GB"/>
              </w:rPr>
              <w:t>Not Provided</w:t>
            </w:r>
          </w:p>
        </w:tc>
        <w:tc>
          <w:tcPr>
            <w:tcW w:w="1560" w:type="dxa"/>
            <w:tcBorders>
              <w:top w:val="nil"/>
              <w:left w:val="nil"/>
              <w:bottom w:val="single" w:sz="4" w:space="0" w:color="auto"/>
              <w:right w:val="single" w:sz="4" w:space="0" w:color="auto"/>
            </w:tcBorders>
            <w:shd w:val="clear" w:color="auto" w:fill="auto"/>
            <w:noWrap/>
            <w:vAlign w:val="bottom"/>
            <w:hideMark/>
          </w:tcPr>
          <w:p w:rsidR="00B56A54" w:rsidRPr="00B56A54" w:rsidRDefault="00B56A54" w:rsidP="00B56A54">
            <w:pPr>
              <w:spacing w:after="0" w:line="240" w:lineRule="auto"/>
              <w:jc w:val="right"/>
              <w:rPr>
                <w:rFonts w:eastAsia="Times New Roman" w:cstheme="minorHAnsi"/>
                <w:color w:val="000000"/>
                <w:lang w:eastAsia="en-GB"/>
              </w:rPr>
            </w:pPr>
            <w:r w:rsidRPr="00B56A54">
              <w:rPr>
                <w:rFonts w:eastAsia="Times New Roman" w:cstheme="minorHAnsi"/>
                <w:color w:val="000000"/>
                <w:lang w:eastAsia="en-GB"/>
              </w:rPr>
              <w:t>0.84%</w:t>
            </w:r>
          </w:p>
        </w:tc>
        <w:tc>
          <w:tcPr>
            <w:tcW w:w="1701" w:type="dxa"/>
            <w:tcBorders>
              <w:top w:val="nil"/>
              <w:left w:val="nil"/>
              <w:bottom w:val="single" w:sz="4" w:space="0" w:color="auto"/>
              <w:right w:val="single" w:sz="4" w:space="0" w:color="auto"/>
            </w:tcBorders>
            <w:shd w:val="clear" w:color="FFFFFF" w:fill="F8FBFC"/>
            <w:noWrap/>
            <w:vAlign w:val="bottom"/>
            <w:hideMark/>
          </w:tcPr>
          <w:p w:rsidR="00B56A54" w:rsidRPr="00B56A54" w:rsidRDefault="00B56A54" w:rsidP="00B56A54">
            <w:pPr>
              <w:spacing w:after="0" w:line="240" w:lineRule="auto"/>
              <w:jc w:val="right"/>
              <w:rPr>
                <w:rFonts w:eastAsia="Times New Roman" w:cstheme="minorHAnsi"/>
                <w:color w:val="333333"/>
                <w:lang w:eastAsia="en-GB"/>
              </w:rPr>
            </w:pPr>
            <w:r w:rsidRPr="00B56A54">
              <w:rPr>
                <w:rFonts w:eastAsia="Times New Roman" w:cstheme="minorHAnsi"/>
                <w:color w:val="333333"/>
                <w:lang w:eastAsia="en-GB"/>
              </w:rPr>
              <w:t>0.00%</w:t>
            </w:r>
          </w:p>
        </w:tc>
        <w:tc>
          <w:tcPr>
            <w:tcW w:w="1699" w:type="dxa"/>
            <w:tcBorders>
              <w:top w:val="nil"/>
              <w:left w:val="nil"/>
              <w:bottom w:val="single" w:sz="4" w:space="0" w:color="auto"/>
              <w:right w:val="single" w:sz="4" w:space="0" w:color="auto"/>
            </w:tcBorders>
            <w:shd w:val="clear" w:color="FFFFFF" w:fill="F8FBFC"/>
            <w:noWrap/>
            <w:vAlign w:val="bottom"/>
            <w:hideMark/>
          </w:tcPr>
          <w:p w:rsidR="00B56A54" w:rsidRPr="00B56A54" w:rsidRDefault="00B56A54" w:rsidP="00B56A54">
            <w:pPr>
              <w:spacing w:after="0" w:line="240" w:lineRule="auto"/>
              <w:jc w:val="right"/>
              <w:rPr>
                <w:rFonts w:eastAsia="Times New Roman" w:cstheme="minorHAnsi"/>
                <w:color w:val="333333"/>
                <w:lang w:eastAsia="en-GB"/>
              </w:rPr>
            </w:pPr>
            <w:r w:rsidRPr="00B56A54">
              <w:rPr>
                <w:rFonts w:eastAsia="Times New Roman" w:cstheme="minorHAnsi"/>
                <w:color w:val="333333"/>
                <w:lang w:eastAsia="en-GB"/>
              </w:rPr>
              <w:t>0.40%</w:t>
            </w:r>
          </w:p>
        </w:tc>
      </w:tr>
      <w:tr w:rsidR="00B56A54" w:rsidRPr="00B56A54" w:rsidTr="00F62368">
        <w:trPr>
          <w:trHeight w:val="300"/>
        </w:trPr>
        <w:tc>
          <w:tcPr>
            <w:tcW w:w="3964" w:type="dxa"/>
            <w:tcBorders>
              <w:top w:val="nil"/>
              <w:left w:val="single" w:sz="4" w:space="0" w:color="auto"/>
              <w:bottom w:val="single" w:sz="4" w:space="0" w:color="auto"/>
              <w:right w:val="single" w:sz="4" w:space="0" w:color="auto"/>
            </w:tcBorders>
            <w:shd w:val="clear" w:color="FFFFFF" w:fill="FFFFFF"/>
            <w:noWrap/>
            <w:vAlign w:val="bottom"/>
            <w:hideMark/>
          </w:tcPr>
          <w:p w:rsidR="00B56A54" w:rsidRPr="00B56A54" w:rsidRDefault="00B56A54" w:rsidP="00B56A54">
            <w:pPr>
              <w:spacing w:after="0" w:line="240" w:lineRule="auto"/>
              <w:rPr>
                <w:rFonts w:eastAsia="Times New Roman" w:cstheme="minorHAnsi"/>
                <w:color w:val="333333"/>
                <w:lang w:eastAsia="en-GB"/>
              </w:rPr>
            </w:pPr>
            <w:r w:rsidRPr="00B56A54">
              <w:rPr>
                <w:rFonts w:eastAsia="Times New Roman" w:cstheme="minorHAnsi"/>
                <w:color w:val="333333"/>
                <w:lang w:eastAsia="en-GB"/>
              </w:rPr>
              <w:t>White and Black African</w:t>
            </w:r>
          </w:p>
        </w:tc>
        <w:tc>
          <w:tcPr>
            <w:tcW w:w="1560" w:type="dxa"/>
            <w:tcBorders>
              <w:top w:val="nil"/>
              <w:left w:val="nil"/>
              <w:bottom w:val="single" w:sz="4" w:space="0" w:color="auto"/>
              <w:right w:val="single" w:sz="4" w:space="0" w:color="auto"/>
            </w:tcBorders>
            <w:shd w:val="clear" w:color="auto" w:fill="auto"/>
            <w:noWrap/>
            <w:vAlign w:val="bottom"/>
            <w:hideMark/>
          </w:tcPr>
          <w:p w:rsidR="00B56A54" w:rsidRPr="00B56A54" w:rsidRDefault="00B56A54" w:rsidP="00B56A54">
            <w:pPr>
              <w:spacing w:after="0" w:line="240" w:lineRule="auto"/>
              <w:jc w:val="right"/>
              <w:rPr>
                <w:rFonts w:eastAsia="Times New Roman" w:cstheme="minorHAnsi"/>
                <w:color w:val="000000"/>
                <w:lang w:eastAsia="en-GB"/>
              </w:rPr>
            </w:pPr>
            <w:r w:rsidRPr="00B56A54">
              <w:rPr>
                <w:rFonts w:eastAsia="Times New Roman" w:cstheme="minorHAnsi"/>
                <w:color w:val="000000"/>
                <w:lang w:eastAsia="en-GB"/>
              </w:rPr>
              <w:t>0.17%</w:t>
            </w:r>
          </w:p>
        </w:tc>
        <w:tc>
          <w:tcPr>
            <w:tcW w:w="1701" w:type="dxa"/>
            <w:tcBorders>
              <w:top w:val="nil"/>
              <w:left w:val="nil"/>
              <w:bottom w:val="single" w:sz="4" w:space="0" w:color="auto"/>
              <w:right w:val="single" w:sz="4" w:space="0" w:color="auto"/>
            </w:tcBorders>
            <w:shd w:val="clear" w:color="FFFFFF" w:fill="FFFFFF"/>
            <w:noWrap/>
            <w:vAlign w:val="bottom"/>
            <w:hideMark/>
          </w:tcPr>
          <w:p w:rsidR="00B56A54" w:rsidRPr="00B56A54" w:rsidRDefault="00B56A54" w:rsidP="00B56A54">
            <w:pPr>
              <w:spacing w:after="0" w:line="240" w:lineRule="auto"/>
              <w:jc w:val="right"/>
              <w:rPr>
                <w:rFonts w:eastAsia="Times New Roman" w:cstheme="minorHAnsi"/>
                <w:color w:val="333333"/>
                <w:lang w:eastAsia="en-GB"/>
              </w:rPr>
            </w:pPr>
            <w:r w:rsidRPr="00B56A54">
              <w:rPr>
                <w:rFonts w:eastAsia="Times New Roman" w:cstheme="minorHAnsi"/>
                <w:color w:val="333333"/>
                <w:lang w:eastAsia="en-GB"/>
              </w:rPr>
              <w:t>0.40%</w:t>
            </w:r>
          </w:p>
        </w:tc>
        <w:tc>
          <w:tcPr>
            <w:tcW w:w="1699" w:type="dxa"/>
            <w:tcBorders>
              <w:top w:val="nil"/>
              <w:left w:val="nil"/>
              <w:bottom w:val="single" w:sz="4" w:space="0" w:color="auto"/>
              <w:right w:val="single" w:sz="4" w:space="0" w:color="auto"/>
            </w:tcBorders>
            <w:shd w:val="clear" w:color="FFFFFF" w:fill="FFFFFF"/>
            <w:noWrap/>
            <w:vAlign w:val="bottom"/>
            <w:hideMark/>
          </w:tcPr>
          <w:p w:rsidR="00B56A54" w:rsidRPr="00B56A54" w:rsidRDefault="00B56A54" w:rsidP="00B56A54">
            <w:pPr>
              <w:spacing w:after="0" w:line="240" w:lineRule="auto"/>
              <w:jc w:val="right"/>
              <w:rPr>
                <w:rFonts w:eastAsia="Times New Roman" w:cstheme="minorHAnsi"/>
                <w:color w:val="333333"/>
                <w:lang w:eastAsia="en-GB"/>
              </w:rPr>
            </w:pPr>
            <w:r w:rsidRPr="00B56A54">
              <w:rPr>
                <w:rFonts w:eastAsia="Times New Roman" w:cstheme="minorHAnsi"/>
                <w:color w:val="333333"/>
                <w:lang w:eastAsia="en-GB"/>
              </w:rPr>
              <w:t>0.30%</w:t>
            </w:r>
          </w:p>
        </w:tc>
      </w:tr>
      <w:tr w:rsidR="00B56A54" w:rsidRPr="00B56A54" w:rsidTr="00F62368">
        <w:trPr>
          <w:trHeight w:val="300"/>
        </w:trPr>
        <w:tc>
          <w:tcPr>
            <w:tcW w:w="3964" w:type="dxa"/>
            <w:tcBorders>
              <w:top w:val="nil"/>
              <w:left w:val="single" w:sz="4" w:space="0" w:color="auto"/>
              <w:bottom w:val="single" w:sz="4" w:space="0" w:color="auto"/>
              <w:right w:val="single" w:sz="4" w:space="0" w:color="auto"/>
            </w:tcBorders>
            <w:shd w:val="clear" w:color="FFFFFF" w:fill="F8FBFC"/>
            <w:noWrap/>
            <w:vAlign w:val="bottom"/>
            <w:hideMark/>
          </w:tcPr>
          <w:p w:rsidR="00B56A54" w:rsidRPr="00B56A54" w:rsidRDefault="00B56A54" w:rsidP="00B56A54">
            <w:pPr>
              <w:spacing w:after="0" w:line="240" w:lineRule="auto"/>
              <w:rPr>
                <w:rFonts w:eastAsia="Times New Roman" w:cstheme="minorHAnsi"/>
                <w:color w:val="333333"/>
                <w:lang w:eastAsia="en-GB"/>
              </w:rPr>
            </w:pPr>
            <w:r w:rsidRPr="00B56A54">
              <w:rPr>
                <w:rFonts w:eastAsia="Times New Roman" w:cstheme="minorHAnsi"/>
                <w:color w:val="333333"/>
                <w:lang w:eastAsia="en-GB"/>
              </w:rPr>
              <w:t>White and Black Caribbean</w:t>
            </w:r>
          </w:p>
        </w:tc>
        <w:tc>
          <w:tcPr>
            <w:tcW w:w="1560" w:type="dxa"/>
            <w:tcBorders>
              <w:top w:val="nil"/>
              <w:left w:val="nil"/>
              <w:bottom w:val="single" w:sz="4" w:space="0" w:color="auto"/>
              <w:right w:val="single" w:sz="4" w:space="0" w:color="auto"/>
            </w:tcBorders>
            <w:shd w:val="clear" w:color="auto" w:fill="auto"/>
            <w:noWrap/>
            <w:vAlign w:val="bottom"/>
            <w:hideMark/>
          </w:tcPr>
          <w:p w:rsidR="00B56A54" w:rsidRPr="00B56A54" w:rsidRDefault="00B56A54" w:rsidP="00B56A54">
            <w:pPr>
              <w:spacing w:after="0" w:line="240" w:lineRule="auto"/>
              <w:jc w:val="right"/>
              <w:rPr>
                <w:rFonts w:eastAsia="Times New Roman" w:cstheme="minorHAnsi"/>
                <w:color w:val="000000"/>
                <w:lang w:eastAsia="en-GB"/>
              </w:rPr>
            </w:pPr>
            <w:r w:rsidRPr="00B56A54">
              <w:rPr>
                <w:rFonts w:eastAsia="Times New Roman" w:cstheme="minorHAnsi"/>
                <w:color w:val="000000"/>
                <w:lang w:eastAsia="en-GB"/>
              </w:rPr>
              <w:t>0.17%</w:t>
            </w:r>
          </w:p>
        </w:tc>
        <w:tc>
          <w:tcPr>
            <w:tcW w:w="1701" w:type="dxa"/>
            <w:tcBorders>
              <w:top w:val="nil"/>
              <w:left w:val="nil"/>
              <w:bottom w:val="single" w:sz="4" w:space="0" w:color="auto"/>
              <w:right w:val="single" w:sz="4" w:space="0" w:color="auto"/>
            </w:tcBorders>
            <w:shd w:val="clear" w:color="FFFFFF" w:fill="F8FBFC"/>
            <w:noWrap/>
            <w:vAlign w:val="bottom"/>
            <w:hideMark/>
          </w:tcPr>
          <w:p w:rsidR="00B56A54" w:rsidRPr="00B56A54" w:rsidRDefault="00B56A54" w:rsidP="00B56A54">
            <w:pPr>
              <w:spacing w:after="0" w:line="240" w:lineRule="auto"/>
              <w:jc w:val="right"/>
              <w:rPr>
                <w:rFonts w:eastAsia="Times New Roman" w:cstheme="minorHAnsi"/>
                <w:color w:val="333333"/>
                <w:lang w:eastAsia="en-GB"/>
              </w:rPr>
            </w:pPr>
            <w:r w:rsidRPr="00B56A54">
              <w:rPr>
                <w:rFonts w:eastAsia="Times New Roman" w:cstheme="minorHAnsi"/>
                <w:color w:val="333333"/>
                <w:lang w:eastAsia="en-GB"/>
              </w:rPr>
              <w:t>0.40%</w:t>
            </w:r>
          </w:p>
        </w:tc>
        <w:tc>
          <w:tcPr>
            <w:tcW w:w="1699" w:type="dxa"/>
            <w:tcBorders>
              <w:top w:val="nil"/>
              <w:left w:val="nil"/>
              <w:bottom w:val="single" w:sz="4" w:space="0" w:color="auto"/>
              <w:right w:val="single" w:sz="4" w:space="0" w:color="auto"/>
            </w:tcBorders>
            <w:shd w:val="clear" w:color="FFFFFF" w:fill="F8FBFC"/>
            <w:noWrap/>
            <w:vAlign w:val="bottom"/>
            <w:hideMark/>
          </w:tcPr>
          <w:p w:rsidR="00B56A54" w:rsidRPr="00B56A54" w:rsidRDefault="00B56A54" w:rsidP="00B56A54">
            <w:pPr>
              <w:spacing w:after="0" w:line="240" w:lineRule="auto"/>
              <w:jc w:val="right"/>
              <w:rPr>
                <w:rFonts w:eastAsia="Times New Roman" w:cstheme="minorHAnsi"/>
                <w:color w:val="333333"/>
                <w:lang w:eastAsia="en-GB"/>
              </w:rPr>
            </w:pPr>
            <w:r w:rsidRPr="00B56A54">
              <w:rPr>
                <w:rFonts w:eastAsia="Times New Roman" w:cstheme="minorHAnsi"/>
                <w:color w:val="333333"/>
                <w:lang w:eastAsia="en-GB"/>
              </w:rPr>
              <w:t>1.00%</w:t>
            </w:r>
          </w:p>
        </w:tc>
      </w:tr>
      <w:tr w:rsidR="00B56A54" w:rsidRPr="00B56A54" w:rsidTr="00F62368">
        <w:trPr>
          <w:trHeight w:val="300"/>
        </w:trPr>
        <w:tc>
          <w:tcPr>
            <w:tcW w:w="3964" w:type="dxa"/>
            <w:tcBorders>
              <w:top w:val="nil"/>
              <w:left w:val="single" w:sz="4" w:space="0" w:color="auto"/>
              <w:bottom w:val="single" w:sz="4" w:space="0" w:color="auto"/>
              <w:right w:val="single" w:sz="4" w:space="0" w:color="auto"/>
            </w:tcBorders>
            <w:shd w:val="clear" w:color="FFFFFF" w:fill="FFFFFF"/>
            <w:noWrap/>
            <w:vAlign w:val="bottom"/>
            <w:hideMark/>
          </w:tcPr>
          <w:p w:rsidR="00B56A54" w:rsidRPr="00B56A54" w:rsidRDefault="00B56A54" w:rsidP="00B56A54">
            <w:pPr>
              <w:spacing w:after="0" w:line="240" w:lineRule="auto"/>
              <w:rPr>
                <w:rFonts w:eastAsia="Times New Roman" w:cstheme="minorHAnsi"/>
                <w:color w:val="333333"/>
                <w:lang w:eastAsia="en-GB"/>
              </w:rPr>
            </w:pPr>
            <w:r w:rsidRPr="00B56A54">
              <w:rPr>
                <w:rFonts w:eastAsia="Times New Roman" w:cstheme="minorHAnsi"/>
                <w:color w:val="333333"/>
                <w:lang w:eastAsia="en-GB"/>
              </w:rPr>
              <w:t>White - Any other</w:t>
            </w:r>
          </w:p>
        </w:tc>
        <w:tc>
          <w:tcPr>
            <w:tcW w:w="1560" w:type="dxa"/>
            <w:tcBorders>
              <w:top w:val="nil"/>
              <w:left w:val="nil"/>
              <w:bottom w:val="single" w:sz="4" w:space="0" w:color="auto"/>
              <w:right w:val="single" w:sz="4" w:space="0" w:color="auto"/>
            </w:tcBorders>
            <w:shd w:val="clear" w:color="auto" w:fill="auto"/>
            <w:noWrap/>
            <w:vAlign w:val="bottom"/>
            <w:hideMark/>
          </w:tcPr>
          <w:p w:rsidR="00B56A54" w:rsidRPr="00B56A54" w:rsidRDefault="00B56A54" w:rsidP="00B56A54">
            <w:pPr>
              <w:spacing w:after="0" w:line="240" w:lineRule="auto"/>
              <w:jc w:val="right"/>
              <w:rPr>
                <w:rFonts w:eastAsia="Times New Roman" w:cstheme="minorHAnsi"/>
                <w:color w:val="000000"/>
                <w:lang w:eastAsia="en-GB"/>
              </w:rPr>
            </w:pPr>
            <w:r w:rsidRPr="00B56A54">
              <w:rPr>
                <w:rFonts w:eastAsia="Times New Roman" w:cstheme="minorHAnsi"/>
                <w:color w:val="000000"/>
                <w:lang w:eastAsia="en-GB"/>
              </w:rPr>
              <w:t>1.85%</w:t>
            </w:r>
          </w:p>
        </w:tc>
        <w:tc>
          <w:tcPr>
            <w:tcW w:w="1701" w:type="dxa"/>
            <w:tcBorders>
              <w:top w:val="nil"/>
              <w:left w:val="nil"/>
              <w:bottom w:val="single" w:sz="4" w:space="0" w:color="auto"/>
              <w:right w:val="single" w:sz="4" w:space="0" w:color="auto"/>
            </w:tcBorders>
            <w:shd w:val="clear" w:color="FFFFFF" w:fill="FFFFFF"/>
            <w:noWrap/>
            <w:vAlign w:val="bottom"/>
            <w:hideMark/>
          </w:tcPr>
          <w:p w:rsidR="00B56A54" w:rsidRPr="00B56A54" w:rsidRDefault="00B56A54" w:rsidP="00B56A54">
            <w:pPr>
              <w:spacing w:after="0" w:line="240" w:lineRule="auto"/>
              <w:jc w:val="right"/>
              <w:rPr>
                <w:rFonts w:eastAsia="Times New Roman" w:cstheme="minorHAnsi"/>
                <w:color w:val="333333"/>
                <w:lang w:eastAsia="en-GB"/>
              </w:rPr>
            </w:pPr>
            <w:r w:rsidRPr="00B56A54">
              <w:rPr>
                <w:rFonts w:eastAsia="Times New Roman" w:cstheme="minorHAnsi"/>
                <w:color w:val="333333"/>
                <w:lang w:eastAsia="en-GB"/>
              </w:rPr>
              <w:t>1.10%</w:t>
            </w:r>
          </w:p>
        </w:tc>
        <w:tc>
          <w:tcPr>
            <w:tcW w:w="1699" w:type="dxa"/>
            <w:tcBorders>
              <w:top w:val="nil"/>
              <w:left w:val="nil"/>
              <w:bottom w:val="single" w:sz="4" w:space="0" w:color="auto"/>
              <w:right w:val="single" w:sz="4" w:space="0" w:color="auto"/>
            </w:tcBorders>
            <w:shd w:val="clear" w:color="FFFFFF" w:fill="FFFFFF"/>
            <w:noWrap/>
            <w:vAlign w:val="bottom"/>
            <w:hideMark/>
          </w:tcPr>
          <w:p w:rsidR="00B56A54" w:rsidRPr="00B56A54" w:rsidRDefault="00B56A54" w:rsidP="00B56A54">
            <w:pPr>
              <w:spacing w:after="0" w:line="240" w:lineRule="auto"/>
              <w:jc w:val="right"/>
              <w:rPr>
                <w:rFonts w:eastAsia="Times New Roman" w:cstheme="minorHAnsi"/>
                <w:color w:val="333333"/>
                <w:lang w:eastAsia="en-GB"/>
              </w:rPr>
            </w:pPr>
            <w:r w:rsidRPr="00B56A54">
              <w:rPr>
                <w:rFonts w:eastAsia="Times New Roman" w:cstheme="minorHAnsi"/>
                <w:color w:val="333333"/>
                <w:lang w:eastAsia="en-GB"/>
              </w:rPr>
              <w:t>2.60%</w:t>
            </w:r>
          </w:p>
        </w:tc>
      </w:tr>
      <w:tr w:rsidR="00B56A54" w:rsidRPr="00B56A54" w:rsidTr="00F62368">
        <w:trPr>
          <w:trHeight w:val="300"/>
        </w:trPr>
        <w:tc>
          <w:tcPr>
            <w:tcW w:w="3964" w:type="dxa"/>
            <w:tcBorders>
              <w:top w:val="nil"/>
              <w:left w:val="single" w:sz="4" w:space="0" w:color="auto"/>
              <w:bottom w:val="single" w:sz="4" w:space="0" w:color="auto"/>
              <w:right w:val="single" w:sz="4" w:space="0" w:color="auto"/>
            </w:tcBorders>
            <w:shd w:val="clear" w:color="FFFFFF" w:fill="F8FBFC"/>
            <w:noWrap/>
            <w:vAlign w:val="bottom"/>
            <w:hideMark/>
          </w:tcPr>
          <w:p w:rsidR="00B56A54" w:rsidRPr="00B56A54" w:rsidRDefault="00B56A54" w:rsidP="00B56A54">
            <w:pPr>
              <w:spacing w:after="0" w:line="240" w:lineRule="auto"/>
              <w:rPr>
                <w:rFonts w:eastAsia="Times New Roman" w:cstheme="minorHAnsi"/>
                <w:color w:val="333333"/>
                <w:lang w:eastAsia="en-GB"/>
              </w:rPr>
            </w:pPr>
            <w:r w:rsidRPr="00B56A54">
              <w:rPr>
                <w:rFonts w:eastAsia="Times New Roman" w:cstheme="minorHAnsi"/>
                <w:color w:val="333333"/>
                <w:lang w:eastAsia="en-GB"/>
              </w:rPr>
              <w:t>White - English/Welsh/Scottish/N Irish</w:t>
            </w:r>
          </w:p>
        </w:tc>
        <w:tc>
          <w:tcPr>
            <w:tcW w:w="1560" w:type="dxa"/>
            <w:tcBorders>
              <w:top w:val="nil"/>
              <w:left w:val="nil"/>
              <w:bottom w:val="single" w:sz="4" w:space="0" w:color="auto"/>
              <w:right w:val="single" w:sz="4" w:space="0" w:color="auto"/>
            </w:tcBorders>
            <w:shd w:val="clear" w:color="auto" w:fill="auto"/>
            <w:noWrap/>
            <w:vAlign w:val="bottom"/>
            <w:hideMark/>
          </w:tcPr>
          <w:p w:rsidR="00B56A54" w:rsidRPr="00B56A54" w:rsidRDefault="00B56A54" w:rsidP="00B56A54">
            <w:pPr>
              <w:spacing w:after="0" w:line="240" w:lineRule="auto"/>
              <w:jc w:val="right"/>
              <w:rPr>
                <w:rFonts w:eastAsia="Times New Roman" w:cstheme="minorHAnsi"/>
                <w:color w:val="000000"/>
                <w:lang w:eastAsia="en-GB"/>
              </w:rPr>
            </w:pPr>
            <w:r w:rsidRPr="00B56A54">
              <w:rPr>
                <w:rFonts w:eastAsia="Times New Roman" w:cstheme="minorHAnsi"/>
                <w:color w:val="000000"/>
                <w:lang w:eastAsia="en-GB"/>
              </w:rPr>
              <w:t>93.96%</w:t>
            </w:r>
          </w:p>
        </w:tc>
        <w:tc>
          <w:tcPr>
            <w:tcW w:w="1701" w:type="dxa"/>
            <w:tcBorders>
              <w:top w:val="nil"/>
              <w:left w:val="nil"/>
              <w:bottom w:val="single" w:sz="4" w:space="0" w:color="auto"/>
              <w:right w:val="single" w:sz="4" w:space="0" w:color="auto"/>
            </w:tcBorders>
            <w:shd w:val="clear" w:color="FFFFFF" w:fill="F8FBFC"/>
            <w:noWrap/>
            <w:vAlign w:val="bottom"/>
            <w:hideMark/>
          </w:tcPr>
          <w:p w:rsidR="00B56A54" w:rsidRPr="00B56A54" w:rsidRDefault="00B56A54" w:rsidP="00B56A54">
            <w:pPr>
              <w:spacing w:after="0" w:line="240" w:lineRule="auto"/>
              <w:jc w:val="right"/>
              <w:rPr>
                <w:rFonts w:eastAsia="Times New Roman" w:cstheme="minorHAnsi"/>
                <w:color w:val="333333"/>
                <w:lang w:eastAsia="en-GB"/>
              </w:rPr>
            </w:pPr>
            <w:r w:rsidRPr="00B56A54">
              <w:rPr>
                <w:rFonts w:eastAsia="Times New Roman" w:cstheme="minorHAnsi"/>
                <w:color w:val="333333"/>
                <w:lang w:eastAsia="en-GB"/>
              </w:rPr>
              <w:t>94.40%</w:t>
            </w:r>
          </w:p>
        </w:tc>
        <w:tc>
          <w:tcPr>
            <w:tcW w:w="1699" w:type="dxa"/>
            <w:tcBorders>
              <w:top w:val="nil"/>
              <w:left w:val="nil"/>
              <w:bottom w:val="single" w:sz="4" w:space="0" w:color="auto"/>
              <w:right w:val="single" w:sz="4" w:space="0" w:color="auto"/>
            </w:tcBorders>
            <w:shd w:val="clear" w:color="FFFFFF" w:fill="F8FBFC"/>
            <w:noWrap/>
            <w:vAlign w:val="bottom"/>
            <w:hideMark/>
          </w:tcPr>
          <w:p w:rsidR="00B56A54" w:rsidRPr="00B56A54" w:rsidRDefault="00B56A54" w:rsidP="00B56A54">
            <w:pPr>
              <w:spacing w:after="0" w:line="240" w:lineRule="auto"/>
              <w:jc w:val="right"/>
              <w:rPr>
                <w:rFonts w:eastAsia="Times New Roman" w:cstheme="minorHAnsi"/>
                <w:color w:val="333333"/>
                <w:lang w:eastAsia="en-GB"/>
              </w:rPr>
            </w:pPr>
            <w:r w:rsidRPr="00B56A54">
              <w:rPr>
                <w:rFonts w:eastAsia="Times New Roman" w:cstheme="minorHAnsi"/>
                <w:color w:val="333333"/>
                <w:lang w:eastAsia="en-GB"/>
              </w:rPr>
              <w:t>93.50%</w:t>
            </w:r>
          </w:p>
        </w:tc>
      </w:tr>
      <w:tr w:rsidR="00B56A54" w:rsidRPr="00B56A54" w:rsidTr="00F62368">
        <w:trPr>
          <w:trHeight w:val="300"/>
        </w:trPr>
        <w:tc>
          <w:tcPr>
            <w:tcW w:w="3964" w:type="dxa"/>
            <w:tcBorders>
              <w:top w:val="nil"/>
              <w:left w:val="single" w:sz="4" w:space="0" w:color="auto"/>
              <w:bottom w:val="single" w:sz="4" w:space="0" w:color="auto"/>
              <w:right w:val="single" w:sz="4" w:space="0" w:color="auto"/>
            </w:tcBorders>
            <w:shd w:val="clear" w:color="FFFFFF" w:fill="FFFFFF"/>
            <w:noWrap/>
            <w:vAlign w:val="bottom"/>
            <w:hideMark/>
          </w:tcPr>
          <w:p w:rsidR="00B56A54" w:rsidRPr="00B56A54" w:rsidRDefault="00B56A54" w:rsidP="00B56A54">
            <w:pPr>
              <w:spacing w:after="0" w:line="240" w:lineRule="auto"/>
              <w:rPr>
                <w:rFonts w:eastAsia="Times New Roman" w:cstheme="minorHAnsi"/>
                <w:color w:val="333333"/>
                <w:lang w:eastAsia="en-GB"/>
              </w:rPr>
            </w:pPr>
            <w:r w:rsidRPr="00B56A54">
              <w:rPr>
                <w:rFonts w:eastAsia="Times New Roman" w:cstheme="minorHAnsi"/>
                <w:color w:val="333333"/>
                <w:lang w:eastAsia="en-GB"/>
              </w:rPr>
              <w:t>White - Irish</w:t>
            </w:r>
          </w:p>
        </w:tc>
        <w:tc>
          <w:tcPr>
            <w:tcW w:w="1560" w:type="dxa"/>
            <w:tcBorders>
              <w:top w:val="nil"/>
              <w:left w:val="nil"/>
              <w:bottom w:val="single" w:sz="4" w:space="0" w:color="auto"/>
              <w:right w:val="single" w:sz="4" w:space="0" w:color="auto"/>
            </w:tcBorders>
            <w:shd w:val="clear" w:color="auto" w:fill="auto"/>
            <w:noWrap/>
            <w:vAlign w:val="bottom"/>
            <w:hideMark/>
          </w:tcPr>
          <w:p w:rsidR="00B56A54" w:rsidRPr="00B56A54" w:rsidRDefault="00B56A54" w:rsidP="00B56A54">
            <w:pPr>
              <w:spacing w:after="0" w:line="240" w:lineRule="auto"/>
              <w:jc w:val="right"/>
              <w:rPr>
                <w:rFonts w:eastAsia="Times New Roman" w:cstheme="minorHAnsi"/>
                <w:color w:val="000000"/>
                <w:lang w:eastAsia="en-GB"/>
              </w:rPr>
            </w:pPr>
            <w:r w:rsidRPr="00B56A54">
              <w:rPr>
                <w:rFonts w:eastAsia="Times New Roman" w:cstheme="minorHAnsi"/>
                <w:color w:val="000000"/>
                <w:lang w:eastAsia="en-GB"/>
              </w:rPr>
              <w:t>0.50%</w:t>
            </w:r>
          </w:p>
        </w:tc>
        <w:tc>
          <w:tcPr>
            <w:tcW w:w="1701" w:type="dxa"/>
            <w:tcBorders>
              <w:top w:val="nil"/>
              <w:left w:val="nil"/>
              <w:bottom w:val="single" w:sz="4" w:space="0" w:color="auto"/>
              <w:right w:val="single" w:sz="4" w:space="0" w:color="auto"/>
            </w:tcBorders>
            <w:shd w:val="clear" w:color="FFFFFF" w:fill="FFFFFF"/>
            <w:noWrap/>
            <w:vAlign w:val="bottom"/>
            <w:hideMark/>
          </w:tcPr>
          <w:p w:rsidR="00B56A54" w:rsidRPr="00B56A54" w:rsidRDefault="00B56A54" w:rsidP="00B56A54">
            <w:pPr>
              <w:spacing w:after="0" w:line="240" w:lineRule="auto"/>
              <w:jc w:val="right"/>
              <w:rPr>
                <w:rFonts w:eastAsia="Times New Roman" w:cstheme="minorHAnsi"/>
                <w:color w:val="333333"/>
                <w:lang w:eastAsia="en-GB"/>
              </w:rPr>
            </w:pPr>
            <w:r w:rsidRPr="00B56A54">
              <w:rPr>
                <w:rFonts w:eastAsia="Times New Roman" w:cstheme="minorHAnsi"/>
                <w:color w:val="333333"/>
                <w:lang w:eastAsia="en-GB"/>
              </w:rPr>
              <w:t>1.10%</w:t>
            </w:r>
          </w:p>
        </w:tc>
        <w:tc>
          <w:tcPr>
            <w:tcW w:w="1699" w:type="dxa"/>
            <w:tcBorders>
              <w:top w:val="nil"/>
              <w:left w:val="nil"/>
              <w:bottom w:val="single" w:sz="4" w:space="0" w:color="auto"/>
              <w:right w:val="single" w:sz="4" w:space="0" w:color="auto"/>
            </w:tcBorders>
            <w:shd w:val="clear" w:color="FFFFFF" w:fill="FFFFFF"/>
            <w:noWrap/>
            <w:vAlign w:val="bottom"/>
            <w:hideMark/>
          </w:tcPr>
          <w:p w:rsidR="00B56A54" w:rsidRPr="00B56A54" w:rsidRDefault="00B56A54" w:rsidP="00B56A54">
            <w:pPr>
              <w:spacing w:after="0" w:line="240" w:lineRule="auto"/>
              <w:jc w:val="right"/>
              <w:rPr>
                <w:rFonts w:eastAsia="Times New Roman" w:cstheme="minorHAnsi"/>
                <w:color w:val="333333"/>
                <w:lang w:eastAsia="en-GB"/>
              </w:rPr>
            </w:pPr>
            <w:r w:rsidRPr="00B56A54">
              <w:rPr>
                <w:rFonts w:eastAsia="Times New Roman" w:cstheme="minorHAnsi"/>
                <w:color w:val="333333"/>
                <w:lang w:eastAsia="en-GB"/>
              </w:rPr>
              <w:t>0.50%</w:t>
            </w:r>
          </w:p>
        </w:tc>
      </w:tr>
    </w:tbl>
    <w:p w:rsidR="00B56A54" w:rsidRDefault="00B56A54" w:rsidP="00EB2E3D">
      <w:pPr>
        <w:rPr>
          <w:noProof/>
          <w:highlight w:val="yellow"/>
          <w:lang w:eastAsia="en-GB"/>
        </w:rPr>
      </w:pPr>
    </w:p>
    <w:p w:rsidR="00EA6A49" w:rsidRDefault="00EA6A49" w:rsidP="00EB2E3D">
      <w:pPr>
        <w:rPr>
          <w:noProof/>
          <w:lang w:eastAsia="en-GB"/>
        </w:rPr>
      </w:pPr>
      <w:r w:rsidRPr="00E9206E">
        <w:rPr>
          <w:noProof/>
          <w:lang w:eastAsia="en-GB"/>
        </w:rPr>
        <w:t>Business Support staff have a BME rate of 8.3%, management 8.7% and teachers 8.75%</w:t>
      </w:r>
      <w:r w:rsidR="00E9206E" w:rsidRPr="00E9206E">
        <w:rPr>
          <w:noProof/>
          <w:lang w:eastAsia="en-GB"/>
        </w:rPr>
        <w:t>,</w:t>
      </w:r>
      <w:r w:rsidR="00E9206E">
        <w:rPr>
          <w:noProof/>
          <w:lang w:eastAsia="en-GB"/>
        </w:rPr>
        <w:t xml:space="preserve"> whereas</w:t>
      </w:r>
      <w:r w:rsidR="00E9206E" w:rsidRPr="00E9206E">
        <w:rPr>
          <w:noProof/>
          <w:lang w:eastAsia="en-GB"/>
        </w:rPr>
        <w:t xml:space="preserve"> </w:t>
      </w:r>
      <w:r w:rsidR="00E9206E">
        <w:rPr>
          <w:noProof/>
          <w:lang w:eastAsia="en-GB"/>
        </w:rPr>
        <w:t xml:space="preserve">Business Support (Teaching) staff, such as Learner Support Assistants, </w:t>
      </w:r>
      <w:r w:rsidR="00E9206E" w:rsidRPr="00E9206E">
        <w:rPr>
          <w:noProof/>
          <w:lang w:eastAsia="en-GB"/>
        </w:rPr>
        <w:t>have a lower BME rate of just 0.6%</w:t>
      </w:r>
      <w:r w:rsidRPr="00E9206E">
        <w:rPr>
          <w:noProof/>
          <w:lang w:eastAsia="en-GB"/>
        </w:rPr>
        <w:t xml:space="preserve">. </w:t>
      </w:r>
    </w:p>
    <w:p w:rsidR="008926B1" w:rsidRDefault="00E9206E" w:rsidP="00EB2E3D">
      <w:pPr>
        <w:rPr>
          <w:noProof/>
          <w:lang w:eastAsia="en-GB"/>
        </w:rPr>
      </w:pPr>
      <w:r>
        <w:rPr>
          <w:noProof/>
          <w:lang w:eastAsia="en-GB"/>
        </w:rPr>
        <w:t xml:space="preserve">Nationally, the FE Sector has a </w:t>
      </w:r>
      <w:r w:rsidRPr="00E9206E">
        <w:rPr>
          <w:noProof/>
          <w:lang w:eastAsia="en-GB"/>
        </w:rPr>
        <w:t>BME rate of 16%</w:t>
      </w:r>
      <w:r w:rsidR="00A818D2">
        <w:rPr>
          <w:noProof/>
          <w:lang w:eastAsia="en-GB"/>
        </w:rPr>
        <w:t xml:space="preserve">, compared to </w:t>
      </w:r>
      <w:r w:rsidR="008926B1" w:rsidRPr="00E9206E">
        <w:rPr>
          <w:noProof/>
          <w:lang w:eastAsia="en-GB"/>
        </w:rPr>
        <w:t>Chesterfield, as reported by 2011 Census (updated August 2018)</w:t>
      </w:r>
      <w:r w:rsidR="00C74FA5">
        <w:rPr>
          <w:noProof/>
          <w:lang w:eastAsia="en-GB"/>
        </w:rPr>
        <w:t>,</w:t>
      </w:r>
      <w:r w:rsidR="008926B1" w:rsidRPr="00E9206E">
        <w:rPr>
          <w:noProof/>
          <w:lang w:eastAsia="en-GB"/>
        </w:rPr>
        <w:t xml:space="preserve"> </w:t>
      </w:r>
      <w:r w:rsidR="00A818D2">
        <w:rPr>
          <w:noProof/>
          <w:lang w:eastAsia="en-GB"/>
        </w:rPr>
        <w:t xml:space="preserve">which </w:t>
      </w:r>
      <w:r w:rsidR="008926B1" w:rsidRPr="00E9206E">
        <w:rPr>
          <w:noProof/>
          <w:lang w:eastAsia="en-GB"/>
        </w:rPr>
        <w:t xml:space="preserve">has a </w:t>
      </w:r>
      <w:r w:rsidRPr="00E9206E">
        <w:rPr>
          <w:noProof/>
          <w:lang w:eastAsia="en-GB"/>
        </w:rPr>
        <w:t>BME rate of just 3.3</w:t>
      </w:r>
      <w:r w:rsidR="008926B1" w:rsidRPr="00E9206E">
        <w:rPr>
          <w:noProof/>
          <w:lang w:eastAsia="en-GB"/>
        </w:rPr>
        <w:t xml:space="preserve">%. </w:t>
      </w:r>
    </w:p>
    <w:p w:rsidR="00AC0DB1" w:rsidRDefault="00AC0DB1" w:rsidP="00EB2E3D">
      <w:pPr>
        <w:rPr>
          <w:noProof/>
          <w:lang w:eastAsia="en-GB"/>
        </w:rPr>
      </w:pPr>
      <w:r>
        <w:rPr>
          <w:noProof/>
          <w:lang w:eastAsia="en-GB"/>
        </w:rPr>
        <w:lastRenderedPageBreak/>
        <w:t xml:space="preserve">The college advertises and recruits staff using a wide range of local and national media. Our recruitment and selection processes help eliminate unlawful discrimination by anonymising applications so that candidates are shortlisted for job interview and assessment on the basis of </w:t>
      </w:r>
      <w:r w:rsidR="00EF29A9">
        <w:rPr>
          <w:noProof/>
          <w:lang w:eastAsia="en-GB"/>
        </w:rPr>
        <w:t>objective</w:t>
      </w:r>
      <w:r>
        <w:rPr>
          <w:noProof/>
          <w:lang w:eastAsia="en-GB"/>
        </w:rPr>
        <w:t xml:space="preserve"> criteria such as skills, qualifications and experience.</w:t>
      </w:r>
    </w:p>
    <w:p w:rsidR="00925BE3" w:rsidRPr="00925BE3" w:rsidRDefault="00925BE3" w:rsidP="00EB2E3D">
      <w:pPr>
        <w:rPr>
          <w:noProof/>
          <w:u w:val="single"/>
          <w:lang w:eastAsia="en-GB"/>
        </w:rPr>
      </w:pPr>
      <w:r>
        <w:rPr>
          <w:noProof/>
          <w:u w:val="single"/>
          <w:lang w:eastAsia="en-GB"/>
        </w:rPr>
        <w:t>Ethnicity Pay Gap R</w:t>
      </w:r>
      <w:r w:rsidRPr="00925BE3">
        <w:rPr>
          <w:noProof/>
          <w:u w:val="single"/>
          <w:lang w:eastAsia="en-GB"/>
        </w:rPr>
        <w:t>eporting</w:t>
      </w:r>
    </w:p>
    <w:p w:rsidR="00DE3216" w:rsidRDefault="001E4066" w:rsidP="00EB2E3D">
      <w:pPr>
        <w:rPr>
          <w:noProof/>
          <w:lang w:eastAsia="en-GB"/>
        </w:rPr>
      </w:pPr>
      <w:r>
        <w:rPr>
          <w:noProof/>
          <w:lang w:eastAsia="en-GB"/>
        </w:rPr>
        <w:t>In Oct</w:t>
      </w:r>
      <w:r w:rsidR="00925BE3">
        <w:rPr>
          <w:noProof/>
          <w:lang w:eastAsia="en-GB"/>
        </w:rPr>
        <w:t xml:space="preserve">ober 2018, the Government announced its plans to commence consultation </w:t>
      </w:r>
      <w:r w:rsidR="00925BE3" w:rsidRPr="00925BE3">
        <w:rPr>
          <w:noProof/>
          <w:lang w:eastAsia="en-GB"/>
        </w:rPr>
        <w:t>on whether mandatory reporting will help address disparities between the pay and</w:t>
      </w:r>
      <w:r w:rsidR="00925BE3">
        <w:rPr>
          <w:noProof/>
          <w:lang w:eastAsia="en-GB"/>
        </w:rPr>
        <w:t xml:space="preserve"> career prospects of minorities, with specific reference made to the potential for statutory ethinicity pay gap reporting.</w:t>
      </w:r>
    </w:p>
    <w:p w:rsidR="00925BE3" w:rsidRDefault="00925BE3" w:rsidP="00EB2E3D">
      <w:pPr>
        <w:rPr>
          <w:noProof/>
          <w:lang w:eastAsia="en-GB"/>
        </w:rPr>
      </w:pPr>
      <w:r w:rsidRPr="00925BE3">
        <w:rPr>
          <w:noProof/>
          <w:lang w:eastAsia="en-GB"/>
        </w:rPr>
        <w:t xml:space="preserve">In anticipation, the College have undertaken a premilinary </w:t>
      </w:r>
      <w:r>
        <w:rPr>
          <w:noProof/>
          <w:lang w:eastAsia="en-GB"/>
        </w:rPr>
        <w:t xml:space="preserve">pay gap </w:t>
      </w:r>
      <w:r w:rsidRPr="00925BE3">
        <w:rPr>
          <w:noProof/>
          <w:lang w:eastAsia="en-GB"/>
        </w:rPr>
        <w:t xml:space="preserve">audit </w:t>
      </w:r>
      <w:r>
        <w:rPr>
          <w:noProof/>
          <w:lang w:eastAsia="en-GB"/>
        </w:rPr>
        <w:t xml:space="preserve">which has revealed a mean ethnicity pay gap of 17.5% and median ethnicity pay gap of 18.5%. Further analysis will be required to establish potential causes and </w:t>
      </w:r>
      <w:r w:rsidR="00C74FA5">
        <w:rPr>
          <w:noProof/>
          <w:lang w:eastAsia="en-GB"/>
        </w:rPr>
        <w:t>remedies</w:t>
      </w:r>
      <w:r>
        <w:rPr>
          <w:noProof/>
          <w:lang w:eastAsia="en-GB"/>
        </w:rPr>
        <w:t>.</w:t>
      </w:r>
    </w:p>
    <w:p w:rsidR="00230857" w:rsidRDefault="00230857" w:rsidP="00EB2E3D">
      <w:pPr>
        <w:rPr>
          <w:noProof/>
          <w:lang w:eastAsia="en-GB"/>
        </w:rPr>
      </w:pPr>
      <w:r w:rsidRPr="00230857">
        <w:rPr>
          <w:noProof/>
          <w:lang w:eastAsia="en-GB"/>
        </w:rPr>
        <w:t>Little benchmarking data currently exists, with the Independant newspaper reporting in August 2018 that only 3% of UK employers undertake ethnicity gap analysis.</w:t>
      </w:r>
    </w:p>
    <w:p w:rsidR="00EB2E3D" w:rsidRPr="00154123" w:rsidRDefault="00EB2E3D" w:rsidP="00EB2E3D">
      <w:pPr>
        <w:rPr>
          <w:noProof/>
          <w:u w:val="single"/>
          <w:lang w:eastAsia="en-GB"/>
        </w:rPr>
      </w:pPr>
      <w:r w:rsidRPr="00154123">
        <w:rPr>
          <w:noProof/>
          <w:u w:val="single"/>
          <w:lang w:eastAsia="en-GB"/>
        </w:rPr>
        <w:t>Religion or Belief</w:t>
      </w:r>
    </w:p>
    <w:p w:rsidR="00154123" w:rsidRPr="00154123" w:rsidRDefault="00154123" w:rsidP="00EB2E3D">
      <w:pPr>
        <w:rPr>
          <w:noProof/>
          <w:lang w:eastAsia="en-GB"/>
        </w:rPr>
      </w:pPr>
      <w:r w:rsidRPr="00154123">
        <w:rPr>
          <w:noProof/>
          <w:lang w:eastAsia="en-GB"/>
        </w:rPr>
        <w:t xml:space="preserve">There are currently 58.5% of staff who have ‘not specificed’ their relgion or belief. </w:t>
      </w:r>
      <w:r>
        <w:rPr>
          <w:noProof/>
          <w:lang w:eastAsia="en-GB"/>
        </w:rPr>
        <w:t>In the last 12 months t</w:t>
      </w:r>
      <w:r w:rsidRPr="00154123">
        <w:rPr>
          <w:noProof/>
          <w:lang w:eastAsia="en-GB"/>
        </w:rPr>
        <w:t xml:space="preserve">he HR Team have </w:t>
      </w:r>
      <w:r>
        <w:rPr>
          <w:noProof/>
          <w:lang w:eastAsia="en-GB"/>
        </w:rPr>
        <w:t>sent regular reminders to</w:t>
      </w:r>
      <w:r w:rsidR="009F2B74">
        <w:rPr>
          <w:noProof/>
          <w:lang w:eastAsia="en-GB"/>
        </w:rPr>
        <w:t xml:space="preserve"> request that</w:t>
      </w:r>
      <w:r w:rsidRPr="00154123">
        <w:rPr>
          <w:noProof/>
          <w:lang w:eastAsia="en-GB"/>
        </w:rPr>
        <w:t xml:space="preserve"> staff complete their personal details using the online iTrent system. </w:t>
      </w:r>
      <w:r>
        <w:rPr>
          <w:noProof/>
          <w:lang w:eastAsia="en-GB"/>
        </w:rPr>
        <w:t xml:space="preserve">This information is kept securely and cannot be viewed by managers and/or colleagues and is only used for </w:t>
      </w:r>
      <w:r w:rsidR="006856CD">
        <w:rPr>
          <w:noProof/>
          <w:lang w:eastAsia="en-GB"/>
        </w:rPr>
        <w:t>EDI</w:t>
      </w:r>
      <w:r>
        <w:rPr>
          <w:noProof/>
          <w:lang w:eastAsia="en-GB"/>
        </w:rPr>
        <w:t xml:space="preserve"> reporting. </w:t>
      </w:r>
    </w:p>
    <w:p w:rsidR="00154123" w:rsidRDefault="00154123" w:rsidP="00EB2E3D">
      <w:pPr>
        <w:rPr>
          <w:noProof/>
          <w:lang w:eastAsia="en-GB"/>
        </w:rPr>
      </w:pPr>
      <w:r w:rsidRPr="00154123">
        <w:rPr>
          <w:noProof/>
          <w:lang w:eastAsia="en-GB"/>
        </w:rPr>
        <w:t>We are</w:t>
      </w:r>
      <w:r w:rsidR="00E50BAC">
        <w:rPr>
          <w:noProof/>
          <w:lang w:eastAsia="en-GB"/>
        </w:rPr>
        <w:t>,</w:t>
      </w:r>
      <w:r w:rsidRPr="00154123">
        <w:rPr>
          <w:noProof/>
          <w:lang w:eastAsia="en-GB"/>
        </w:rPr>
        <w:t xml:space="preserve"> however</w:t>
      </w:r>
      <w:r w:rsidR="00E50BAC">
        <w:rPr>
          <w:noProof/>
          <w:lang w:eastAsia="en-GB"/>
        </w:rPr>
        <w:t>,</w:t>
      </w:r>
      <w:r w:rsidRPr="00154123">
        <w:rPr>
          <w:noProof/>
          <w:lang w:eastAsia="en-GB"/>
        </w:rPr>
        <w:t xml:space="preserve"> hopeful that the recent online and confidential </w:t>
      </w:r>
      <w:r>
        <w:rPr>
          <w:noProof/>
          <w:lang w:eastAsia="en-GB"/>
        </w:rPr>
        <w:t>‘</w:t>
      </w:r>
      <w:r w:rsidRPr="00154123">
        <w:rPr>
          <w:noProof/>
          <w:lang w:eastAsia="en-GB"/>
        </w:rPr>
        <w:t>Great Place to Work Survey</w:t>
      </w:r>
      <w:r>
        <w:rPr>
          <w:noProof/>
          <w:lang w:eastAsia="en-GB"/>
        </w:rPr>
        <w:t>’</w:t>
      </w:r>
      <w:r w:rsidRPr="00154123">
        <w:rPr>
          <w:noProof/>
          <w:lang w:eastAsia="en-GB"/>
        </w:rPr>
        <w:t>, which closed on 8 January 2019, will encourage staff to record this type of information in</w:t>
      </w:r>
      <w:r w:rsidR="009F2B74">
        <w:rPr>
          <w:noProof/>
          <w:lang w:eastAsia="en-GB"/>
        </w:rPr>
        <w:t xml:space="preserve"> the</w:t>
      </w:r>
      <w:r w:rsidRPr="00154123">
        <w:rPr>
          <w:noProof/>
          <w:lang w:eastAsia="en-GB"/>
        </w:rPr>
        <w:t xml:space="preserve"> future. Likewise, we are also encouraging st</w:t>
      </w:r>
      <w:r>
        <w:rPr>
          <w:noProof/>
          <w:lang w:eastAsia="en-GB"/>
        </w:rPr>
        <w:t>a</w:t>
      </w:r>
      <w:r w:rsidRPr="00154123">
        <w:rPr>
          <w:noProof/>
          <w:lang w:eastAsia="en-GB"/>
        </w:rPr>
        <w:t xml:space="preserve">ff </w:t>
      </w:r>
      <w:r w:rsidR="009F2B74">
        <w:rPr>
          <w:noProof/>
          <w:lang w:eastAsia="en-GB"/>
        </w:rPr>
        <w:t>to regularly update their infor</w:t>
      </w:r>
      <w:r w:rsidRPr="00154123">
        <w:rPr>
          <w:noProof/>
          <w:lang w:eastAsia="en-GB"/>
        </w:rPr>
        <w:t>m</w:t>
      </w:r>
      <w:r w:rsidR="009F2B74">
        <w:rPr>
          <w:noProof/>
          <w:lang w:eastAsia="en-GB"/>
        </w:rPr>
        <w:t>a</w:t>
      </w:r>
      <w:r w:rsidRPr="00154123">
        <w:rPr>
          <w:noProof/>
          <w:lang w:eastAsia="en-GB"/>
        </w:rPr>
        <w:t>tio</w:t>
      </w:r>
      <w:r w:rsidR="00E50BAC">
        <w:rPr>
          <w:noProof/>
          <w:lang w:eastAsia="en-GB"/>
        </w:rPr>
        <w:t>n</w:t>
      </w:r>
      <w:r w:rsidRPr="00154123">
        <w:rPr>
          <w:noProof/>
          <w:lang w:eastAsia="en-GB"/>
        </w:rPr>
        <w:t xml:space="preserve"> in line with GDPR</w:t>
      </w:r>
      <w:r>
        <w:rPr>
          <w:noProof/>
          <w:lang w:eastAsia="en-GB"/>
        </w:rPr>
        <w:t xml:space="preserve"> advice</w:t>
      </w:r>
      <w:r w:rsidRPr="00154123">
        <w:rPr>
          <w:noProof/>
          <w:lang w:eastAsia="en-GB"/>
        </w:rPr>
        <w:t>.</w:t>
      </w:r>
    </w:p>
    <w:p w:rsidR="00610C78" w:rsidRDefault="00610C78" w:rsidP="00EB2E3D">
      <w:pPr>
        <w:rPr>
          <w:noProof/>
          <w:lang w:eastAsia="en-GB"/>
        </w:rPr>
      </w:pPr>
      <w:r>
        <w:rPr>
          <w:noProof/>
          <w:lang w:eastAsia="en-GB"/>
        </w:rPr>
        <w:t xml:space="preserve">Of the 41.5% of staff </w:t>
      </w:r>
      <w:r w:rsidR="009748F6">
        <w:rPr>
          <w:noProof/>
          <w:lang w:eastAsia="en-GB"/>
        </w:rPr>
        <w:t xml:space="preserve">overall </w:t>
      </w:r>
      <w:r>
        <w:rPr>
          <w:noProof/>
          <w:lang w:eastAsia="en-GB"/>
        </w:rPr>
        <w:t>that did report</w:t>
      </w:r>
      <w:r w:rsidR="009748F6">
        <w:rPr>
          <w:noProof/>
          <w:lang w:eastAsia="en-GB"/>
        </w:rPr>
        <w:t xml:space="preserve"> their rel</w:t>
      </w:r>
      <w:r w:rsidR="00E50BAC">
        <w:rPr>
          <w:noProof/>
          <w:lang w:eastAsia="en-GB"/>
        </w:rPr>
        <w:t>igi</w:t>
      </w:r>
      <w:r w:rsidR="009748F6">
        <w:rPr>
          <w:noProof/>
          <w:lang w:eastAsia="en-GB"/>
        </w:rPr>
        <w:t>on and belief</w:t>
      </w:r>
      <w:r>
        <w:rPr>
          <w:noProof/>
          <w:lang w:eastAsia="en-GB"/>
        </w:rPr>
        <w:t>, 78% are Christian (including both Protestant and Roma</w:t>
      </w:r>
      <w:r w:rsidR="009748F6">
        <w:rPr>
          <w:noProof/>
          <w:lang w:eastAsia="en-GB"/>
        </w:rPr>
        <w:t>n</w:t>
      </w:r>
      <w:r>
        <w:rPr>
          <w:noProof/>
          <w:lang w:eastAsia="en-GB"/>
        </w:rPr>
        <w:t xml:space="preserve"> Catholic</w:t>
      </w:r>
      <w:r w:rsidR="00E50BAC">
        <w:rPr>
          <w:noProof/>
          <w:lang w:eastAsia="en-GB"/>
        </w:rPr>
        <w:t>)</w:t>
      </w:r>
      <w:r>
        <w:rPr>
          <w:noProof/>
          <w:lang w:eastAsia="en-GB"/>
        </w:rPr>
        <w:t>, 12% Ath</w:t>
      </w:r>
      <w:r w:rsidR="00E50BAC">
        <w:rPr>
          <w:noProof/>
          <w:lang w:eastAsia="en-GB"/>
        </w:rPr>
        <w:t>eis</w:t>
      </w:r>
      <w:r>
        <w:rPr>
          <w:noProof/>
          <w:lang w:eastAsia="en-GB"/>
        </w:rPr>
        <w:t xml:space="preserve">t and 4% Agnostic. </w:t>
      </w:r>
    </w:p>
    <w:p w:rsidR="00154123" w:rsidRPr="00154123" w:rsidRDefault="00154123" w:rsidP="00154123">
      <w:pPr>
        <w:rPr>
          <w:noProof/>
          <w:lang w:eastAsia="en-GB"/>
        </w:rPr>
      </w:pPr>
      <w:r>
        <w:rPr>
          <w:noProof/>
          <w:lang w:eastAsia="en-GB"/>
        </w:rPr>
        <w:t xml:space="preserve">The latest ‘Further Education Workforce data for England’ does not currently include information </w:t>
      </w:r>
      <w:r w:rsidR="009748F6">
        <w:rPr>
          <w:noProof/>
          <w:lang w:eastAsia="en-GB"/>
        </w:rPr>
        <w:t>relating to</w:t>
      </w:r>
      <w:r>
        <w:rPr>
          <w:noProof/>
          <w:lang w:eastAsia="en-GB"/>
        </w:rPr>
        <w:t xml:space="preserve"> religion or belief.</w:t>
      </w:r>
    </w:p>
    <w:p w:rsidR="00EB2E3D" w:rsidRPr="009748F6" w:rsidRDefault="00EB2E3D" w:rsidP="00EB2E3D">
      <w:pPr>
        <w:rPr>
          <w:noProof/>
          <w:u w:val="single"/>
          <w:lang w:eastAsia="en-GB"/>
        </w:rPr>
      </w:pPr>
      <w:r w:rsidRPr="009748F6">
        <w:rPr>
          <w:noProof/>
          <w:u w:val="single"/>
          <w:lang w:eastAsia="en-GB"/>
        </w:rPr>
        <w:t>Marital Status</w:t>
      </w:r>
    </w:p>
    <w:p w:rsidR="00EB2E3D" w:rsidRPr="009748F6" w:rsidRDefault="009748F6" w:rsidP="00EB2E3D">
      <w:pPr>
        <w:rPr>
          <w:noProof/>
          <w:lang w:eastAsia="en-GB"/>
        </w:rPr>
      </w:pPr>
      <w:r w:rsidRPr="009748F6">
        <w:rPr>
          <w:noProof/>
          <w:lang w:eastAsia="en-GB"/>
        </w:rPr>
        <w:t>In percentage order</w:t>
      </w:r>
      <w:r w:rsidR="0059355B">
        <w:rPr>
          <w:noProof/>
          <w:lang w:eastAsia="en-GB"/>
        </w:rPr>
        <w:t xml:space="preserve"> (high to low)</w:t>
      </w:r>
      <w:r w:rsidRPr="009748F6">
        <w:rPr>
          <w:noProof/>
          <w:lang w:eastAsia="en-GB"/>
        </w:rPr>
        <w:t>, 42% of staff are married, 26% single, 18% have not specified, 6% are divorced, 6% have a partner and 0.5% are widowed.</w:t>
      </w:r>
    </w:p>
    <w:p w:rsidR="009748F6" w:rsidRDefault="009748F6" w:rsidP="00EB2E3D">
      <w:pPr>
        <w:rPr>
          <w:noProof/>
          <w:lang w:eastAsia="en-GB"/>
        </w:rPr>
      </w:pPr>
      <w:r w:rsidRPr="009748F6">
        <w:rPr>
          <w:noProof/>
          <w:lang w:eastAsia="en-GB"/>
        </w:rPr>
        <w:t>Again, the college will explore new ways in which to encourage to record this inform</w:t>
      </w:r>
      <w:r w:rsidR="0039163B">
        <w:rPr>
          <w:noProof/>
          <w:lang w:eastAsia="en-GB"/>
        </w:rPr>
        <w:t>a</w:t>
      </w:r>
      <w:r w:rsidRPr="009748F6">
        <w:rPr>
          <w:noProof/>
          <w:lang w:eastAsia="en-GB"/>
        </w:rPr>
        <w:t xml:space="preserve">tion securely </w:t>
      </w:r>
      <w:r w:rsidRPr="007B3575">
        <w:rPr>
          <w:noProof/>
          <w:lang w:eastAsia="en-GB"/>
        </w:rPr>
        <w:t>using the iTrent sy</w:t>
      </w:r>
      <w:r w:rsidR="009F2B74">
        <w:rPr>
          <w:noProof/>
          <w:lang w:eastAsia="en-GB"/>
        </w:rPr>
        <w:t>s</w:t>
      </w:r>
      <w:r w:rsidRPr="007B3575">
        <w:rPr>
          <w:noProof/>
          <w:lang w:eastAsia="en-GB"/>
        </w:rPr>
        <w:t>t</w:t>
      </w:r>
      <w:r w:rsidR="009F2B74">
        <w:rPr>
          <w:noProof/>
          <w:lang w:eastAsia="en-GB"/>
        </w:rPr>
        <w:t>e</w:t>
      </w:r>
      <w:r w:rsidRPr="007B3575">
        <w:rPr>
          <w:noProof/>
          <w:lang w:eastAsia="en-GB"/>
        </w:rPr>
        <w:t>m.</w:t>
      </w:r>
    </w:p>
    <w:p w:rsidR="007B3575" w:rsidRDefault="007B3575" w:rsidP="007B3575">
      <w:pPr>
        <w:rPr>
          <w:noProof/>
          <w:lang w:eastAsia="en-GB"/>
        </w:rPr>
      </w:pPr>
      <w:r>
        <w:rPr>
          <w:noProof/>
          <w:lang w:eastAsia="en-GB"/>
        </w:rPr>
        <w:t>The latest ‘Further Education Workforce data for England’ does not currently include information about marital status.</w:t>
      </w:r>
    </w:p>
    <w:p w:rsidR="00E50BAC" w:rsidRDefault="00E50BAC" w:rsidP="007B3575">
      <w:pPr>
        <w:rPr>
          <w:noProof/>
          <w:lang w:eastAsia="en-GB"/>
        </w:rPr>
      </w:pPr>
    </w:p>
    <w:p w:rsidR="00E50BAC" w:rsidRPr="00154123" w:rsidRDefault="00E50BAC" w:rsidP="007B3575">
      <w:pPr>
        <w:rPr>
          <w:noProof/>
          <w:lang w:eastAsia="en-GB"/>
        </w:rPr>
      </w:pPr>
    </w:p>
    <w:p w:rsidR="00EB2E3D" w:rsidRPr="007B3575" w:rsidRDefault="00EB2E3D" w:rsidP="00EB2E3D">
      <w:pPr>
        <w:rPr>
          <w:noProof/>
          <w:u w:val="single"/>
          <w:lang w:eastAsia="en-GB"/>
        </w:rPr>
      </w:pPr>
      <w:r w:rsidRPr="007B3575">
        <w:rPr>
          <w:noProof/>
          <w:u w:val="single"/>
          <w:lang w:eastAsia="en-GB"/>
        </w:rPr>
        <w:lastRenderedPageBreak/>
        <w:t>Gender Reassignment</w:t>
      </w:r>
    </w:p>
    <w:p w:rsidR="006B4A24" w:rsidRDefault="007B3575" w:rsidP="00EB2E3D">
      <w:pPr>
        <w:rPr>
          <w:noProof/>
          <w:lang w:eastAsia="en-GB"/>
        </w:rPr>
      </w:pPr>
      <w:r w:rsidRPr="006B4A24">
        <w:rPr>
          <w:noProof/>
          <w:lang w:eastAsia="en-GB"/>
        </w:rPr>
        <w:t>Chesterfield</w:t>
      </w:r>
      <w:r w:rsidR="00EB2E3D" w:rsidRPr="006B4A24">
        <w:rPr>
          <w:noProof/>
          <w:lang w:eastAsia="en-GB"/>
        </w:rPr>
        <w:t xml:space="preserve"> College asks the question at the time of application as to whether staff present either full time or part time in a gender which is different to that which they were assigned at birth. </w:t>
      </w:r>
    </w:p>
    <w:p w:rsidR="00EB2E3D" w:rsidRDefault="006B4A24" w:rsidP="00EB2E3D">
      <w:pPr>
        <w:rPr>
          <w:noProof/>
          <w:lang w:eastAsia="en-GB"/>
        </w:rPr>
      </w:pPr>
      <w:r>
        <w:rPr>
          <w:noProof/>
          <w:lang w:eastAsia="en-GB"/>
        </w:rPr>
        <w:t>Only 29% of staff have responded to the question. 2 members of staff (</w:t>
      </w:r>
      <w:r w:rsidR="00C74FA5">
        <w:rPr>
          <w:noProof/>
          <w:lang w:eastAsia="en-GB"/>
        </w:rPr>
        <w:t>0.</w:t>
      </w:r>
      <w:r>
        <w:rPr>
          <w:noProof/>
          <w:lang w:eastAsia="en-GB"/>
        </w:rPr>
        <w:t>4%) have identified</w:t>
      </w:r>
      <w:r w:rsidR="009F2B74">
        <w:rPr>
          <w:noProof/>
          <w:lang w:eastAsia="en-GB"/>
        </w:rPr>
        <w:t xml:space="preserve"> themselves as having a differe</w:t>
      </w:r>
      <w:r>
        <w:rPr>
          <w:noProof/>
          <w:lang w:eastAsia="en-GB"/>
        </w:rPr>
        <w:t xml:space="preserve">nt gender to </w:t>
      </w:r>
      <w:r w:rsidRPr="006B4A24">
        <w:rPr>
          <w:noProof/>
          <w:lang w:eastAsia="en-GB"/>
        </w:rPr>
        <w:t>which they were assigned at birth</w:t>
      </w:r>
      <w:r>
        <w:rPr>
          <w:noProof/>
          <w:lang w:eastAsia="en-GB"/>
        </w:rPr>
        <w:t xml:space="preserve">, </w:t>
      </w:r>
      <w:r w:rsidR="00EB2E3D" w:rsidRPr="006B4A24">
        <w:rPr>
          <w:noProof/>
          <w:lang w:eastAsia="en-GB"/>
        </w:rPr>
        <w:t xml:space="preserve">which </w:t>
      </w:r>
      <w:r w:rsidRPr="006B4A24">
        <w:rPr>
          <w:noProof/>
          <w:lang w:eastAsia="en-GB"/>
        </w:rPr>
        <w:t xml:space="preserve">is slightly higher than the </w:t>
      </w:r>
      <w:r w:rsidR="00EB2E3D" w:rsidRPr="006B4A24">
        <w:rPr>
          <w:noProof/>
          <w:lang w:eastAsia="en-GB"/>
        </w:rPr>
        <w:t>trans</w:t>
      </w:r>
      <w:r w:rsidR="009F2B74">
        <w:rPr>
          <w:noProof/>
          <w:lang w:eastAsia="en-GB"/>
        </w:rPr>
        <w:t>gender</w:t>
      </w:r>
      <w:r w:rsidR="00EB2E3D" w:rsidRPr="006B4A24">
        <w:rPr>
          <w:noProof/>
          <w:lang w:eastAsia="en-GB"/>
        </w:rPr>
        <w:t xml:space="preserve"> population of 0.3% nationally. </w:t>
      </w:r>
    </w:p>
    <w:p w:rsidR="006B4A24" w:rsidRDefault="006B4A24" w:rsidP="00EB2E3D">
      <w:pPr>
        <w:rPr>
          <w:noProof/>
          <w:lang w:eastAsia="en-GB"/>
        </w:rPr>
      </w:pPr>
      <w:r w:rsidRPr="006B4A24">
        <w:rPr>
          <w:noProof/>
          <w:lang w:eastAsia="en-GB"/>
        </w:rPr>
        <w:t>The latest ‘Further Education Workforce data for England’ does not currently include information about marital status.</w:t>
      </w:r>
    </w:p>
    <w:p w:rsidR="00EB2E3D" w:rsidRPr="00241391" w:rsidRDefault="00EB2E3D" w:rsidP="00EB2E3D">
      <w:pPr>
        <w:rPr>
          <w:noProof/>
          <w:u w:val="single"/>
          <w:lang w:eastAsia="en-GB"/>
        </w:rPr>
      </w:pPr>
      <w:r w:rsidRPr="00241391">
        <w:rPr>
          <w:noProof/>
          <w:u w:val="single"/>
          <w:lang w:eastAsia="en-GB"/>
        </w:rPr>
        <w:t>Sexual Orientation</w:t>
      </w:r>
    </w:p>
    <w:p w:rsidR="00EB2E3D" w:rsidRPr="00241391" w:rsidRDefault="0059355B" w:rsidP="00EB2E3D">
      <w:pPr>
        <w:rPr>
          <w:noProof/>
          <w:lang w:eastAsia="en-GB"/>
        </w:rPr>
      </w:pPr>
      <w:r w:rsidRPr="00241391">
        <w:rPr>
          <w:noProof/>
          <w:lang w:eastAsia="en-GB"/>
        </w:rPr>
        <w:t xml:space="preserve">The ‘not specified’ response rate of 40% is more than double of the </w:t>
      </w:r>
      <w:r w:rsidR="00241391" w:rsidRPr="00241391">
        <w:rPr>
          <w:noProof/>
          <w:lang w:eastAsia="en-GB"/>
        </w:rPr>
        <w:t>FE Sector, which is just 16%.</w:t>
      </w:r>
      <w:r w:rsidR="00EB2E3D" w:rsidRPr="00241391">
        <w:rPr>
          <w:noProof/>
          <w:lang w:eastAsia="en-GB"/>
        </w:rPr>
        <w:t xml:space="preserve"> </w:t>
      </w:r>
    </w:p>
    <w:p w:rsidR="00241391" w:rsidRPr="00241391" w:rsidRDefault="00241391" w:rsidP="00EB2E3D">
      <w:pPr>
        <w:rPr>
          <w:noProof/>
          <w:lang w:eastAsia="en-GB"/>
        </w:rPr>
      </w:pPr>
      <w:r w:rsidRPr="00241391">
        <w:rPr>
          <w:noProof/>
          <w:lang w:eastAsia="en-GB"/>
        </w:rPr>
        <w:t xml:space="preserve">Of the 60% of staff </w:t>
      </w:r>
      <w:r w:rsidR="00416625">
        <w:rPr>
          <w:noProof/>
          <w:lang w:eastAsia="en-GB"/>
        </w:rPr>
        <w:t>who</w:t>
      </w:r>
      <w:r w:rsidRPr="00241391">
        <w:rPr>
          <w:noProof/>
          <w:lang w:eastAsia="en-GB"/>
        </w:rPr>
        <w:t xml:space="preserve"> did specify, in percentage order (high to low), 97% of staff have recorded their status as ‘hetrosexual’, 0.9% have stated ‘bisexual’, 0.9 ‘gay’ and 0.5% as ‘other’.</w:t>
      </w:r>
    </w:p>
    <w:p w:rsidR="00EB2E3D" w:rsidRPr="00241391" w:rsidRDefault="00241391" w:rsidP="00EB2E3D">
      <w:pPr>
        <w:rPr>
          <w:noProof/>
          <w:lang w:eastAsia="en-GB"/>
        </w:rPr>
      </w:pPr>
      <w:r w:rsidRPr="00241391">
        <w:rPr>
          <w:noProof/>
          <w:lang w:eastAsia="en-GB"/>
        </w:rPr>
        <w:t>The College’s</w:t>
      </w:r>
      <w:r w:rsidR="00EB2E3D" w:rsidRPr="00241391">
        <w:rPr>
          <w:noProof/>
          <w:lang w:eastAsia="en-GB"/>
        </w:rPr>
        <w:t xml:space="preserve"> figure of </w:t>
      </w:r>
      <w:r w:rsidRPr="00241391">
        <w:rPr>
          <w:noProof/>
          <w:lang w:eastAsia="en-GB"/>
        </w:rPr>
        <w:t>2.3%</w:t>
      </w:r>
      <w:r w:rsidR="00EB2E3D" w:rsidRPr="00241391">
        <w:rPr>
          <w:noProof/>
          <w:lang w:eastAsia="en-GB"/>
        </w:rPr>
        <w:t xml:space="preserve"> for Gay/Lesbian/Bisexual </w:t>
      </w:r>
      <w:r w:rsidRPr="00241391">
        <w:rPr>
          <w:noProof/>
          <w:lang w:eastAsia="en-GB"/>
        </w:rPr>
        <w:t xml:space="preserve">is very similar to the FE comparison of 2%. However both figures are well below </w:t>
      </w:r>
      <w:r w:rsidR="00EB2E3D" w:rsidRPr="00241391">
        <w:rPr>
          <w:noProof/>
          <w:lang w:eastAsia="en-GB"/>
        </w:rPr>
        <w:t xml:space="preserve">the estimated 5% to 7% quoted by Stonewall for the proportion of the population. </w:t>
      </w:r>
    </w:p>
    <w:p w:rsidR="00EB2E3D" w:rsidRPr="009748F6" w:rsidRDefault="00EB2E3D" w:rsidP="00EB2E3D">
      <w:pPr>
        <w:rPr>
          <w:noProof/>
          <w:u w:val="single"/>
          <w:lang w:eastAsia="en-GB"/>
        </w:rPr>
      </w:pPr>
      <w:r w:rsidRPr="009748F6">
        <w:rPr>
          <w:noProof/>
          <w:u w:val="single"/>
          <w:lang w:eastAsia="en-GB"/>
        </w:rPr>
        <w:t>Pregnancy &amp; Maternity</w:t>
      </w:r>
    </w:p>
    <w:p w:rsidR="00EB2E3D" w:rsidRDefault="00EB2E3D" w:rsidP="00EB2E3D">
      <w:pPr>
        <w:rPr>
          <w:noProof/>
          <w:lang w:eastAsia="en-GB"/>
        </w:rPr>
      </w:pPr>
      <w:r w:rsidRPr="009748F6">
        <w:rPr>
          <w:noProof/>
          <w:lang w:eastAsia="en-GB"/>
        </w:rPr>
        <w:t xml:space="preserve">The </w:t>
      </w:r>
      <w:r w:rsidR="00E50BAC">
        <w:rPr>
          <w:noProof/>
          <w:lang w:eastAsia="en-GB"/>
        </w:rPr>
        <w:t>n</w:t>
      </w:r>
      <w:r w:rsidRPr="009748F6">
        <w:rPr>
          <w:noProof/>
          <w:lang w:eastAsia="en-GB"/>
        </w:rPr>
        <w:t xml:space="preserve">umber of </w:t>
      </w:r>
      <w:r w:rsidR="00E50BAC">
        <w:rPr>
          <w:noProof/>
          <w:lang w:eastAsia="en-GB"/>
        </w:rPr>
        <w:t>e</w:t>
      </w:r>
      <w:r w:rsidRPr="009748F6">
        <w:rPr>
          <w:noProof/>
          <w:lang w:eastAsia="en-GB"/>
        </w:rPr>
        <w:t xml:space="preserve">mployees that were on </w:t>
      </w:r>
      <w:r w:rsidR="00E50BAC">
        <w:rPr>
          <w:noProof/>
          <w:lang w:eastAsia="en-GB"/>
        </w:rPr>
        <w:t>m</w:t>
      </w:r>
      <w:r w:rsidRPr="009748F6">
        <w:rPr>
          <w:noProof/>
          <w:lang w:eastAsia="en-GB"/>
        </w:rPr>
        <w:t xml:space="preserve">aternity leave at some point in the academic year </w:t>
      </w:r>
      <w:r w:rsidR="00610C78" w:rsidRPr="009748F6">
        <w:rPr>
          <w:noProof/>
          <w:lang w:eastAsia="en-GB"/>
        </w:rPr>
        <w:t>2017/18</w:t>
      </w:r>
      <w:r w:rsidRPr="009748F6">
        <w:rPr>
          <w:noProof/>
          <w:lang w:eastAsia="en-GB"/>
        </w:rPr>
        <w:t xml:space="preserve"> was </w:t>
      </w:r>
      <w:r w:rsidR="00610C78" w:rsidRPr="009748F6">
        <w:rPr>
          <w:noProof/>
          <w:lang w:eastAsia="en-GB"/>
        </w:rPr>
        <w:t>18</w:t>
      </w:r>
      <w:r w:rsidRPr="009748F6">
        <w:rPr>
          <w:noProof/>
          <w:lang w:eastAsia="en-GB"/>
        </w:rPr>
        <w:t>,</w:t>
      </w:r>
      <w:r w:rsidR="00610C78" w:rsidRPr="009748F6">
        <w:rPr>
          <w:noProof/>
          <w:lang w:eastAsia="en-GB"/>
        </w:rPr>
        <w:t xml:space="preserve"> equating</w:t>
      </w:r>
      <w:r w:rsidR="009F2B74">
        <w:rPr>
          <w:noProof/>
          <w:lang w:eastAsia="en-GB"/>
        </w:rPr>
        <w:t xml:space="preserve"> to</w:t>
      </w:r>
      <w:r w:rsidR="00610C78" w:rsidRPr="009748F6">
        <w:rPr>
          <w:noProof/>
          <w:lang w:eastAsia="en-GB"/>
        </w:rPr>
        <w:t xml:space="preserve"> 3</w:t>
      </w:r>
      <w:r w:rsidRPr="009748F6">
        <w:rPr>
          <w:noProof/>
          <w:lang w:eastAsia="en-GB"/>
        </w:rPr>
        <w:t xml:space="preserve">% of the </w:t>
      </w:r>
      <w:r w:rsidR="00610C78" w:rsidRPr="009748F6">
        <w:rPr>
          <w:noProof/>
          <w:lang w:eastAsia="en-GB"/>
        </w:rPr>
        <w:t>College’s</w:t>
      </w:r>
      <w:r w:rsidRPr="009748F6">
        <w:rPr>
          <w:noProof/>
          <w:lang w:eastAsia="en-GB"/>
        </w:rPr>
        <w:t xml:space="preserve"> workforce.</w:t>
      </w:r>
    </w:p>
    <w:p w:rsidR="00DF7C1B" w:rsidRPr="009748F6" w:rsidRDefault="00DF7C1B" w:rsidP="00EB2E3D">
      <w:pPr>
        <w:rPr>
          <w:noProof/>
          <w:lang w:eastAsia="en-GB"/>
        </w:rPr>
      </w:pPr>
      <w:r>
        <w:rPr>
          <w:noProof/>
          <w:lang w:eastAsia="en-GB"/>
        </w:rPr>
        <w:t xml:space="preserve">Of the 18 staff, 15 remain on maternity leave </w:t>
      </w:r>
      <w:r w:rsidR="004455C3">
        <w:rPr>
          <w:noProof/>
          <w:lang w:eastAsia="en-GB"/>
        </w:rPr>
        <w:t>and</w:t>
      </w:r>
      <w:r>
        <w:rPr>
          <w:noProof/>
          <w:lang w:eastAsia="en-GB"/>
        </w:rPr>
        <w:t xml:space="preserve"> have already requested and been approved for reductions in their contracted hours</w:t>
      </w:r>
      <w:r w:rsidR="004455C3">
        <w:rPr>
          <w:noProof/>
          <w:lang w:eastAsia="en-GB"/>
        </w:rPr>
        <w:t xml:space="preserve"> upon their return to work</w:t>
      </w:r>
      <w:r>
        <w:rPr>
          <w:noProof/>
          <w:lang w:eastAsia="en-GB"/>
        </w:rPr>
        <w:t>. 2 staff have returned to work, with 1 returning on reduced hours. 1 member of staff left the college as part of the Voluntary Severance (VS) scheme in June 2018.</w:t>
      </w:r>
    </w:p>
    <w:p w:rsidR="009748F6" w:rsidRDefault="009748F6" w:rsidP="00EB2E3D">
      <w:pPr>
        <w:rPr>
          <w:noProof/>
          <w:lang w:eastAsia="en-GB"/>
        </w:rPr>
      </w:pPr>
      <w:r w:rsidRPr="009748F6">
        <w:rPr>
          <w:noProof/>
          <w:lang w:eastAsia="en-GB"/>
        </w:rPr>
        <w:t xml:space="preserve">The College also received </w:t>
      </w:r>
      <w:r w:rsidR="00DF7C1B">
        <w:rPr>
          <w:noProof/>
          <w:lang w:eastAsia="en-GB"/>
        </w:rPr>
        <w:t xml:space="preserve">and approved </w:t>
      </w:r>
      <w:r w:rsidRPr="009748F6">
        <w:rPr>
          <w:noProof/>
          <w:lang w:eastAsia="en-GB"/>
        </w:rPr>
        <w:t>its first request for Shared Parental Leave (introduced in the UK April 2015</w:t>
      </w:r>
      <w:r w:rsidR="00DF7C1B">
        <w:rPr>
          <w:noProof/>
          <w:lang w:eastAsia="en-GB"/>
        </w:rPr>
        <w:t>).</w:t>
      </w:r>
      <w:r w:rsidRPr="009748F6">
        <w:rPr>
          <w:noProof/>
          <w:lang w:eastAsia="en-GB"/>
        </w:rPr>
        <w:t xml:space="preserve"> </w:t>
      </w:r>
    </w:p>
    <w:p w:rsidR="006833F2" w:rsidRDefault="00DF7C1B" w:rsidP="006833F2">
      <w:pPr>
        <w:rPr>
          <w:noProof/>
          <w:lang w:eastAsia="en-GB"/>
        </w:rPr>
      </w:pPr>
      <w:r>
        <w:rPr>
          <w:noProof/>
          <w:lang w:eastAsia="en-GB"/>
        </w:rPr>
        <w:t xml:space="preserve">The college provides for occupational maternity pay (above the statutory level) and </w:t>
      </w:r>
      <w:r w:rsidR="006E47F5">
        <w:rPr>
          <w:noProof/>
          <w:lang w:eastAsia="en-GB"/>
        </w:rPr>
        <w:t>supports flexible working for staff with care responsibilities.</w:t>
      </w:r>
    </w:p>
    <w:p w:rsidR="001E6121" w:rsidRDefault="001E6121" w:rsidP="006833F2">
      <w:pPr>
        <w:rPr>
          <w:noProof/>
          <w:lang w:eastAsia="en-GB"/>
        </w:rPr>
      </w:pPr>
    </w:p>
    <w:p w:rsidR="001E6121" w:rsidRDefault="001E6121" w:rsidP="006833F2">
      <w:pPr>
        <w:rPr>
          <w:noProof/>
          <w:lang w:eastAsia="en-GB"/>
        </w:rPr>
      </w:pPr>
    </w:p>
    <w:p w:rsidR="001E6121" w:rsidRDefault="001E6121" w:rsidP="006833F2">
      <w:pPr>
        <w:rPr>
          <w:noProof/>
          <w:lang w:eastAsia="en-GB"/>
        </w:rPr>
      </w:pPr>
    </w:p>
    <w:p w:rsidR="001E6121" w:rsidRDefault="001E6121" w:rsidP="006833F2">
      <w:pPr>
        <w:rPr>
          <w:noProof/>
          <w:lang w:eastAsia="en-GB"/>
        </w:rPr>
      </w:pPr>
    </w:p>
    <w:p w:rsidR="001E6121" w:rsidRDefault="001E6121" w:rsidP="006833F2">
      <w:pPr>
        <w:rPr>
          <w:noProof/>
          <w:lang w:eastAsia="en-GB"/>
        </w:rPr>
      </w:pPr>
    </w:p>
    <w:p w:rsidR="001E6121" w:rsidRDefault="001E6121" w:rsidP="006833F2">
      <w:pPr>
        <w:rPr>
          <w:noProof/>
          <w:lang w:eastAsia="en-GB"/>
        </w:rPr>
      </w:pPr>
    </w:p>
    <w:p w:rsidR="001E6121" w:rsidRDefault="001E6121" w:rsidP="006833F2">
      <w:pPr>
        <w:rPr>
          <w:noProof/>
          <w:lang w:eastAsia="en-GB"/>
        </w:rPr>
      </w:pPr>
    </w:p>
    <w:p w:rsidR="006E47F5" w:rsidRPr="006833F2" w:rsidRDefault="009D46F0" w:rsidP="00CF3C84">
      <w:pPr>
        <w:pStyle w:val="ListParagraph"/>
        <w:numPr>
          <w:ilvl w:val="0"/>
          <w:numId w:val="2"/>
        </w:numPr>
        <w:ind w:left="0" w:firstLine="0"/>
        <w:rPr>
          <w:b/>
          <w:noProof/>
          <w:u w:val="single"/>
          <w:lang w:eastAsia="en-GB"/>
        </w:rPr>
      </w:pPr>
      <w:r>
        <w:rPr>
          <w:b/>
          <w:noProof/>
          <w:u w:val="single"/>
          <w:lang w:eastAsia="en-GB"/>
        </w:rPr>
        <w:lastRenderedPageBreak/>
        <w:t>Job Applicants</w:t>
      </w:r>
      <w:r w:rsidR="00230857">
        <w:rPr>
          <w:b/>
          <w:noProof/>
          <w:u w:val="single"/>
          <w:lang w:eastAsia="en-GB"/>
        </w:rPr>
        <w:t xml:space="preserve"> </w:t>
      </w:r>
      <w:r w:rsidR="006833F2" w:rsidRPr="006833F2">
        <w:rPr>
          <w:b/>
          <w:noProof/>
          <w:u w:val="single"/>
          <w:lang w:eastAsia="en-GB"/>
        </w:rPr>
        <w:t>ED</w:t>
      </w:r>
      <w:r w:rsidR="006856CD">
        <w:rPr>
          <w:b/>
          <w:noProof/>
          <w:u w:val="single"/>
          <w:lang w:eastAsia="en-GB"/>
        </w:rPr>
        <w:t>I</w:t>
      </w:r>
      <w:r w:rsidR="006833F2" w:rsidRPr="006833F2">
        <w:rPr>
          <w:b/>
          <w:noProof/>
          <w:u w:val="single"/>
          <w:lang w:eastAsia="en-GB"/>
        </w:rPr>
        <w:t xml:space="preserve"> Profiling</w:t>
      </w:r>
    </w:p>
    <w:p w:rsidR="006856CD" w:rsidRDefault="004455C3" w:rsidP="00CF3C84">
      <w:pPr>
        <w:rPr>
          <w:noProof/>
          <w:lang w:eastAsia="en-GB"/>
        </w:rPr>
      </w:pPr>
      <w:r>
        <w:rPr>
          <w:noProof/>
          <w:lang w:eastAsia="en-GB"/>
        </w:rPr>
        <w:t>The college’s recr</w:t>
      </w:r>
      <w:r w:rsidR="00C976B6">
        <w:rPr>
          <w:noProof/>
          <w:lang w:eastAsia="en-GB"/>
        </w:rPr>
        <w:t xml:space="preserve">uitment and selection software is provided by NetworxRecruitment </w:t>
      </w:r>
      <w:r w:rsidR="006856CD">
        <w:rPr>
          <w:noProof/>
          <w:lang w:eastAsia="en-GB"/>
        </w:rPr>
        <w:t>and the following information is provided using a suite of available EDI reports.</w:t>
      </w:r>
    </w:p>
    <w:p w:rsidR="006833F2" w:rsidRDefault="006856CD" w:rsidP="00CF3C84">
      <w:pPr>
        <w:rPr>
          <w:noProof/>
          <w:lang w:eastAsia="en-GB"/>
        </w:rPr>
      </w:pPr>
      <w:r>
        <w:rPr>
          <w:noProof/>
          <w:lang w:eastAsia="en-GB"/>
        </w:rPr>
        <w:t xml:space="preserve">In </w:t>
      </w:r>
      <w:r w:rsidR="001C37FF" w:rsidRPr="001C37FF">
        <w:rPr>
          <w:noProof/>
          <w:lang w:eastAsia="en-GB"/>
        </w:rPr>
        <w:t xml:space="preserve">2017/18 </w:t>
      </w:r>
      <w:r w:rsidR="000C0C7F">
        <w:rPr>
          <w:noProof/>
          <w:lang w:eastAsia="en-GB"/>
        </w:rPr>
        <w:t>the college advertised a tot</w:t>
      </w:r>
      <w:r w:rsidR="00E50BAC">
        <w:rPr>
          <w:noProof/>
          <w:lang w:eastAsia="en-GB"/>
        </w:rPr>
        <w:t>a</w:t>
      </w:r>
      <w:r w:rsidR="000C0C7F">
        <w:rPr>
          <w:noProof/>
          <w:lang w:eastAsia="en-GB"/>
        </w:rPr>
        <w:t xml:space="preserve">l </w:t>
      </w:r>
      <w:r w:rsidR="001C37FF" w:rsidRPr="001C37FF">
        <w:rPr>
          <w:noProof/>
          <w:lang w:eastAsia="en-GB"/>
        </w:rPr>
        <w:t xml:space="preserve">of 238 job vacancies, of which 147 roles were advertised externally. The following is a brief analysis of </w:t>
      </w:r>
      <w:r w:rsidR="00230857" w:rsidRPr="001C37FF">
        <w:rPr>
          <w:noProof/>
          <w:lang w:eastAsia="en-GB"/>
        </w:rPr>
        <w:t xml:space="preserve">‘headline’ </w:t>
      </w:r>
      <w:r w:rsidR="00325A4C">
        <w:rPr>
          <w:noProof/>
          <w:lang w:eastAsia="en-GB"/>
        </w:rPr>
        <w:t>Equality, Diversity and Inclusion</w:t>
      </w:r>
      <w:r w:rsidR="00230857" w:rsidRPr="001C37FF">
        <w:rPr>
          <w:noProof/>
          <w:lang w:eastAsia="en-GB"/>
        </w:rPr>
        <w:t xml:space="preserve"> profiling of its </w:t>
      </w:r>
      <w:r w:rsidR="001C37FF" w:rsidRPr="001C37FF">
        <w:rPr>
          <w:noProof/>
          <w:lang w:eastAsia="en-GB"/>
        </w:rPr>
        <w:t xml:space="preserve">1,531 external job applicants </w:t>
      </w:r>
      <w:r w:rsidR="00230857" w:rsidRPr="001C37FF">
        <w:rPr>
          <w:noProof/>
          <w:lang w:eastAsia="en-GB"/>
        </w:rPr>
        <w:t>received and processed during 201</w:t>
      </w:r>
      <w:r w:rsidR="001C37FF" w:rsidRPr="001C37FF">
        <w:rPr>
          <w:noProof/>
          <w:lang w:eastAsia="en-GB"/>
        </w:rPr>
        <w:t>7</w:t>
      </w:r>
      <w:r w:rsidR="00230857" w:rsidRPr="001C37FF">
        <w:rPr>
          <w:noProof/>
          <w:lang w:eastAsia="en-GB"/>
        </w:rPr>
        <w:t>/1</w:t>
      </w:r>
      <w:r w:rsidR="001C37FF" w:rsidRPr="001C37FF">
        <w:rPr>
          <w:noProof/>
          <w:lang w:eastAsia="en-GB"/>
        </w:rPr>
        <w:t>8. This</w:t>
      </w:r>
      <w:r w:rsidR="00230857" w:rsidRPr="001C37FF">
        <w:rPr>
          <w:noProof/>
          <w:lang w:eastAsia="en-GB"/>
        </w:rPr>
        <w:t xml:space="preserve"> profiling </w:t>
      </w:r>
      <w:r w:rsidR="000C0C7F">
        <w:rPr>
          <w:noProof/>
          <w:lang w:eastAsia="en-GB"/>
        </w:rPr>
        <w:t xml:space="preserve">compares the rates of current staff and job offers and </w:t>
      </w:r>
      <w:r w:rsidR="00230857" w:rsidRPr="001C37FF">
        <w:rPr>
          <w:noProof/>
          <w:lang w:eastAsia="en-GB"/>
        </w:rPr>
        <w:t xml:space="preserve">aims to establish </w:t>
      </w:r>
      <w:r w:rsidR="000C0C7F">
        <w:rPr>
          <w:noProof/>
          <w:lang w:eastAsia="en-GB"/>
        </w:rPr>
        <w:t>possible</w:t>
      </w:r>
      <w:r w:rsidR="00230857" w:rsidRPr="001C37FF">
        <w:rPr>
          <w:noProof/>
          <w:lang w:eastAsia="en-GB"/>
        </w:rPr>
        <w:t xml:space="preserve"> barriers to recruitment and thus eliminate potential unlawful discrimination.</w:t>
      </w:r>
    </w:p>
    <w:p w:rsidR="00230857" w:rsidRPr="0045204F" w:rsidRDefault="0095358D" w:rsidP="00230857">
      <w:pPr>
        <w:rPr>
          <w:rFonts w:eastAsiaTheme="minorEastAsia" w:cstheme="minorHAnsi"/>
          <w:b/>
          <w:lang w:eastAsia="en-GB"/>
        </w:rPr>
      </w:pPr>
      <w:r>
        <w:rPr>
          <w:rFonts w:eastAsiaTheme="minorEastAsia" w:cstheme="minorHAnsi"/>
          <w:b/>
          <w:u w:val="single"/>
          <w:lang w:eastAsia="en-GB"/>
        </w:rPr>
        <w:t>Job Applicants</w:t>
      </w:r>
      <w:r w:rsidR="00230857" w:rsidRPr="0036301C">
        <w:rPr>
          <w:rFonts w:eastAsiaTheme="minorEastAsia" w:cstheme="minorHAnsi"/>
          <w:b/>
          <w:u w:val="single"/>
          <w:lang w:eastAsia="en-GB"/>
        </w:rPr>
        <w:t xml:space="preserve"> Age Profiling</w:t>
      </w:r>
    </w:p>
    <w:tbl>
      <w:tblPr>
        <w:tblW w:w="9511" w:type="dxa"/>
        <w:tblInd w:w="118" w:type="dxa"/>
        <w:tblLook w:val="04A0" w:firstRow="1" w:lastRow="0" w:firstColumn="1" w:lastColumn="0" w:noHBand="0" w:noVBand="1"/>
      </w:tblPr>
      <w:tblGrid>
        <w:gridCol w:w="1857"/>
        <w:gridCol w:w="1275"/>
        <w:gridCol w:w="1135"/>
        <w:gridCol w:w="1275"/>
        <w:gridCol w:w="2268"/>
        <w:gridCol w:w="1701"/>
      </w:tblGrid>
      <w:tr w:rsidR="001E6121" w:rsidRPr="00AB0063" w:rsidTr="005758EB">
        <w:trPr>
          <w:trHeight w:val="615"/>
        </w:trPr>
        <w:tc>
          <w:tcPr>
            <w:tcW w:w="1857" w:type="dxa"/>
            <w:tcBorders>
              <w:top w:val="single" w:sz="8" w:space="0" w:color="auto"/>
              <w:left w:val="single" w:sz="8" w:space="0" w:color="auto"/>
              <w:bottom w:val="single" w:sz="8" w:space="0" w:color="auto"/>
              <w:right w:val="single" w:sz="8" w:space="0" w:color="auto"/>
            </w:tcBorders>
            <w:shd w:val="clear" w:color="auto" w:fill="95B3D7" w:themeFill="accent1" w:themeFillTint="99"/>
            <w:vAlign w:val="center"/>
            <w:hideMark/>
          </w:tcPr>
          <w:p w:rsidR="00B1086A" w:rsidRDefault="00B1086A" w:rsidP="005758EB">
            <w:pPr>
              <w:spacing w:after="0" w:line="240" w:lineRule="auto"/>
              <w:jc w:val="center"/>
              <w:rPr>
                <w:rFonts w:ascii="Calibri" w:hAnsi="Calibri"/>
                <w:b/>
                <w:bCs/>
                <w:color w:val="FFFFFF" w:themeColor="background1"/>
              </w:rPr>
            </w:pPr>
            <w:r>
              <w:rPr>
                <w:rFonts w:ascii="Calibri" w:hAnsi="Calibri"/>
                <w:b/>
                <w:bCs/>
                <w:color w:val="FFFFFF" w:themeColor="background1"/>
              </w:rPr>
              <w:t>Job Applicants</w:t>
            </w:r>
          </w:p>
          <w:p w:rsidR="001E6121" w:rsidRPr="00AB0063" w:rsidRDefault="001E6121" w:rsidP="005758EB">
            <w:pPr>
              <w:spacing w:after="0" w:line="240" w:lineRule="auto"/>
              <w:jc w:val="center"/>
              <w:rPr>
                <w:rFonts w:ascii="Calibri" w:hAnsi="Calibri"/>
                <w:b/>
                <w:bCs/>
                <w:color w:val="FFFFFF" w:themeColor="background1"/>
                <w:lang w:eastAsia="en-GB"/>
              </w:rPr>
            </w:pPr>
            <w:r w:rsidRPr="00AB0063">
              <w:rPr>
                <w:rFonts w:ascii="Calibri" w:hAnsi="Calibri"/>
                <w:b/>
                <w:bCs/>
                <w:color w:val="FFFFFF" w:themeColor="background1"/>
              </w:rPr>
              <w:t>Age Band</w:t>
            </w:r>
          </w:p>
        </w:tc>
        <w:tc>
          <w:tcPr>
            <w:tcW w:w="1275" w:type="dxa"/>
            <w:tcBorders>
              <w:top w:val="single" w:sz="8" w:space="0" w:color="auto"/>
              <w:left w:val="nil"/>
              <w:bottom w:val="single" w:sz="8" w:space="0" w:color="auto"/>
              <w:right w:val="single" w:sz="8" w:space="0" w:color="auto"/>
            </w:tcBorders>
            <w:shd w:val="clear" w:color="auto" w:fill="95B3D7" w:themeFill="accent1" w:themeFillTint="99"/>
            <w:vAlign w:val="center"/>
            <w:hideMark/>
          </w:tcPr>
          <w:p w:rsidR="001E6121" w:rsidRPr="00AB0063" w:rsidRDefault="001E6121" w:rsidP="005758EB">
            <w:pPr>
              <w:spacing w:after="0" w:line="240" w:lineRule="auto"/>
              <w:jc w:val="center"/>
              <w:rPr>
                <w:rFonts w:ascii="Calibri" w:hAnsi="Calibri"/>
                <w:b/>
                <w:bCs/>
                <w:color w:val="FFFFFF" w:themeColor="background1"/>
              </w:rPr>
            </w:pPr>
            <w:r w:rsidRPr="00AB0063">
              <w:rPr>
                <w:rFonts w:ascii="Calibri" w:hAnsi="Calibri"/>
                <w:b/>
                <w:bCs/>
                <w:color w:val="FFFFFF" w:themeColor="background1"/>
              </w:rPr>
              <w:t>2015-16</w:t>
            </w:r>
          </w:p>
        </w:tc>
        <w:tc>
          <w:tcPr>
            <w:tcW w:w="1135" w:type="dxa"/>
            <w:tcBorders>
              <w:top w:val="single" w:sz="8" w:space="0" w:color="auto"/>
              <w:left w:val="nil"/>
              <w:bottom w:val="single" w:sz="8" w:space="0" w:color="auto"/>
              <w:right w:val="single" w:sz="4" w:space="0" w:color="auto"/>
            </w:tcBorders>
            <w:shd w:val="clear" w:color="auto" w:fill="95B3D7" w:themeFill="accent1" w:themeFillTint="99"/>
            <w:vAlign w:val="center"/>
            <w:hideMark/>
          </w:tcPr>
          <w:p w:rsidR="001E6121" w:rsidRPr="00AB0063" w:rsidRDefault="001E6121" w:rsidP="005758EB">
            <w:pPr>
              <w:spacing w:after="0" w:line="240" w:lineRule="auto"/>
              <w:jc w:val="center"/>
              <w:rPr>
                <w:rFonts w:ascii="Calibri" w:hAnsi="Calibri"/>
                <w:b/>
                <w:bCs/>
                <w:color w:val="FFFFFF" w:themeColor="background1"/>
              </w:rPr>
            </w:pPr>
            <w:r w:rsidRPr="00AB0063">
              <w:rPr>
                <w:rFonts w:ascii="Calibri" w:hAnsi="Calibri"/>
                <w:b/>
                <w:bCs/>
                <w:color w:val="FFFFFF" w:themeColor="background1"/>
              </w:rPr>
              <w:t>2016-17</w:t>
            </w:r>
          </w:p>
        </w:tc>
        <w:tc>
          <w:tcPr>
            <w:tcW w:w="127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1E6121" w:rsidRDefault="005758EB" w:rsidP="005758EB">
            <w:pPr>
              <w:spacing w:after="0" w:line="240" w:lineRule="auto"/>
              <w:jc w:val="center"/>
              <w:rPr>
                <w:rFonts w:ascii="Calibri" w:hAnsi="Calibri"/>
                <w:b/>
                <w:bCs/>
                <w:color w:val="FFFFFF" w:themeColor="background1"/>
              </w:rPr>
            </w:pPr>
            <w:r>
              <w:rPr>
                <w:rFonts w:ascii="Calibri" w:hAnsi="Calibri"/>
                <w:b/>
                <w:bCs/>
                <w:color w:val="FFFFFF" w:themeColor="background1"/>
              </w:rPr>
              <w:t>2017</w:t>
            </w:r>
            <w:r w:rsidR="001E6121">
              <w:rPr>
                <w:rFonts w:ascii="Calibri" w:hAnsi="Calibri"/>
                <w:b/>
                <w:bCs/>
                <w:color w:val="FFFFFF" w:themeColor="background1"/>
              </w:rPr>
              <w:t>-18</w:t>
            </w:r>
          </w:p>
        </w:tc>
        <w:tc>
          <w:tcPr>
            <w:tcW w:w="226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1E6121" w:rsidRDefault="001E6121" w:rsidP="005758EB">
            <w:pPr>
              <w:spacing w:after="0" w:line="240" w:lineRule="auto"/>
              <w:jc w:val="center"/>
              <w:rPr>
                <w:rFonts w:ascii="Calibri" w:hAnsi="Calibri"/>
                <w:b/>
                <w:bCs/>
                <w:color w:val="FFFFFF" w:themeColor="background1"/>
              </w:rPr>
            </w:pPr>
            <w:r>
              <w:rPr>
                <w:rFonts w:ascii="Calibri" w:hAnsi="Calibri"/>
                <w:b/>
                <w:bCs/>
                <w:color w:val="FFFFFF" w:themeColor="background1"/>
              </w:rPr>
              <w:t>CC</w:t>
            </w:r>
            <w:r w:rsidR="00B80DE7">
              <w:rPr>
                <w:rFonts w:ascii="Calibri" w:hAnsi="Calibri"/>
                <w:b/>
                <w:bCs/>
                <w:color w:val="FFFFFF" w:themeColor="background1"/>
              </w:rPr>
              <w:t>G</w:t>
            </w:r>
            <w:r>
              <w:rPr>
                <w:rFonts w:ascii="Calibri" w:hAnsi="Calibri"/>
                <w:b/>
                <w:bCs/>
                <w:color w:val="FFFFFF" w:themeColor="background1"/>
              </w:rPr>
              <w:t xml:space="preserve"> Staff</w:t>
            </w:r>
          </w:p>
          <w:p w:rsidR="001E6121" w:rsidRPr="00BA0399" w:rsidRDefault="001E6121" w:rsidP="005758EB">
            <w:pPr>
              <w:spacing w:after="0" w:line="240" w:lineRule="auto"/>
              <w:jc w:val="center"/>
              <w:rPr>
                <w:rFonts w:ascii="Calibri" w:hAnsi="Calibri"/>
                <w:b/>
                <w:bCs/>
                <w:color w:val="FFFFFF" w:themeColor="background1"/>
              </w:rPr>
            </w:pPr>
            <w:r w:rsidRPr="00BA0399">
              <w:rPr>
                <w:rFonts w:ascii="Calibri" w:hAnsi="Calibri"/>
                <w:b/>
                <w:bCs/>
                <w:color w:val="FFFFFF" w:themeColor="background1"/>
              </w:rPr>
              <w:t>201</w:t>
            </w:r>
            <w:r w:rsidR="00BA7B3F">
              <w:rPr>
                <w:rFonts w:ascii="Calibri" w:hAnsi="Calibri"/>
                <w:b/>
                <w:bCs/>
                <w:color w:val="FFFFFF" w:themeColor="background1"/>
              </w:rPr>
              <w:t>7</w:t>
            </w:r>
            <w:r w:rsidRPr="00BA0399">
              <w:rPr>
                <w:rFonts w:ascii="Calibri" w:hAnsi="Calibri"/>
                <w:b/>
                <w:bCs/>
                <w:color w:val="FFFFFF" w:themeColor="background1"/>
              </w:rPr>
              <w:t>-1</w:t>
            </w:r>
            <w:r w:rsidR="00BA7B3F">
              <w:rPr>
                <w:rFonts w:ascii="Calibri" w:hAnsi="Calibri"/>
                <w:b/>
                <w:bCs/>
                <w:color w:val="FFFFFF" w:themeColor="background1"/>
              </w:rPr>
              <w:t>8</w:t>
            </w:r>
          </w:p>
        </w:tc>
        <w:tc>
          <w:tcPr>
            <w:tcW w:w="1701" w:type="dxa"/>
            <w:tcBorders>
              <w:top w:val="single" w:sz="8" w:space="0" w:color="auto"/>
              <w:left w:val="single" w:sz="4" w:space="0" w:color="auto"/>
              <w:bottom w:val="single" w:sz="8" w:space="0" w:color="auto"/>
              <w:right w:val="single" w:sz="8" w:space="0" w:color="auto"/>
            </w:tcBorders>
            <w:shd w:val="clear" w:color="auto" w:fill="95B3D7" w:themeFill="accent1" w:themeFillTint="99"/>
            <w:vAlign w:val="center"/>
          </w:tcPr>
          <w:p w:rsidR="001E6121" w:rsidRPr="00AB0063" w:rsidRDefault="001E6121" w:rsidP="005758EB">
            <w:pPr>
              <w:spacing w:after="0" w:line="240" w:lineRule="auto"/>
              <w:ind w:right="397"/>
              <w:jc w:val="center"/>
              <w:rPr>
                <w:rFonts w:ascii="Calibri" w:hAnsi="Calibri"/>
                <w:b/>
                <w:bCs/>
                <w:color w:val="FFFFFF" w:themeColor="background1"/>
              </w:rPr>
            </w:pPr>
            <w:r>
              <w:rPr>
                <w:rFonts w:ascii="Calibri" w:hAnsi="Calibri"/>
                <w:b/>
                <w:bCs/>
                <w:color w:val="FFFFFF" w:themeColor="background1"/>
              </w:rPr>
              <w:t xml:space="preserve">Job </w:t>
            </w:r>
            <w:r w:rsidRPr="00AB0063">
              <w:rPr>
                <w:rFonts w:ascii="Calibri" w:hAnsi="Calibri"/>
                <w:b/>
                <w:bCs/>
                <w:color w:val="FFFFFF" w:themeColor="background1"/>
              </w:rPr>
              <w:t>Offer</w:t>
            </w:r>
            <w:r>
              <w:rPr>
                <w:rFonts w:ascii="Calibri" w:hAnsi="Calibri"/>
                <w:b/>
                <w:bCs/>
                <w:color w:val="FFFFFF" w:themeColor="background1"/>
              </w:rPr>
              <w:t>s</w:t>
            </w:r>
            <w:r w:rsidRPr="00AB0063">
              <w:rPr>
                <w:rFonts w:ascii="Calibri" w:hAnsi="Calibri"/>
                <w:b/>
                <w:bCs/>
                <w:color w:val="FFFFFF" w:themeColor="background1"/>
              </w:rPr>
              <w:t xml:space="preserve"> </w:t>
            </w:r>
            <w:r>
              <w:rPr>
                <w:rFonts w:ascii="Calibri" w:hAnsi="Calibri"/>
                <w:b/>
                <w:bCs/>
                <w:color w:val="FFFFFF" w:themeColor="background1"/>
              </w:rPr>
              <w:t xml:space="preserve">     </w:t>
            </w:r>
            <w:r w:rsidR="005758EB">
              <w:rPr>
                <w:rFonts w:ascii="Calibri" w:hAnsi="Calibri"/>
                <w:b/>
                <w:bCs/>
                <w:color w:val="FFFFFF" w:themeColor="background1"/>
              </w:rPr>
              <w:t>20</w:t>
            </w:r>
            <w:r w:rsidRPr="00AB0063">
              <w:rPr>
                <w:rFonts w:ascii="Calibri" w:hAnsi="Calibri"/>
                <w:b/>
                <w:bCs/>
                <w:color w:val="FFFFFF" w:themeColor="background1"/>
              </w:rPr>
              <w:t>1</w:t>
            </w:r>
            <w:r w:rsidR="00BA7B3F">
              <w:rPr>
                <w:rFonts w:ascii="Calibri" w:hAnsi="Calibri"/>
                <w:b/>
                <w:bCs/>
                <w:color w:val="FFFFFF" w:themeColor="background1"/>
              </w:rPr>
              <w:t>7</w:t>
            </w:r>
            <w:r w:rsidRPr="00AB0063">
              <w:rPr>
                <w:rFonts w:ascii="Calibri" w:hAnsi="Calibri"/>
                <w:b/>
                <w:bCs/>
                <w:color w:val="FFFFFF" w:themeColor="background1"/>
              </w:rPr>
              <w:t>-1</w:t>
            </w:r>
            <w:r w:rsidR="00BA7B3F">
              <w:rPr>
                <w:rFonts w:ascii="Calibri" w:hAnsi="Calibri"/>
                <w:b/>
                <w:bCs/>
                <w:color w:val="FFFFFF" w:themeColor="background1"/>
              </w:rPr>
              <w:t>8</w:t>
            </w:r>
          </w:p>
        </w:tc>
      </w:tr>
      <w:tr w:rsidR="00C97782" w:rsidTr="005758EB">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rsidR="00C97782" w:rsidRDefault="00C97782" w:rsidP="00C97782">
            <w:pPr>
              <w:jc w:val="center"/>
              <w:rPr>
                <w:rFonts w:ascii="Calibri" w:hAnsi="Calibri"/>
                <w:b/>
                <w:bCs/>
                <w:color w:val="000000"/>
              </w:rPr>
            </w:pPr>
            <w:r>
              <w:rPr>
                <w:rFonts w:ascii="Calibri" w:hAnsi="Calibri"/>
                <w:b/>
                <w:bCs/>
                <w:color w:val="000000"/>
              </w:rPr>
              <w:t>16-24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C97782" w:rsidRDefault="00C97782" w:rsidP="00C97782">
            <w:pPr>
              <w:jc w:val="center"/>
              <w:rPr>
                <w:rFonts w:ascii="Calibri" w:hAnsi="Calibri"/>
                <w:color w:val="000000"/>
              </w:rPr>
            </w:pPr>
            <w:r>
              <w:rPr>
                <w:rFonts w:ascii="Calibri" w:hAnsi="Calibri"/>
                <w:color w:val="000000"/>
              </w:rPr>
              <w:t>20.4%</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C97782" w:rsidRDefault="00C97782" w:rsidP="00C97782">
            <w:pPr>
              <w:jc w:val="center"/>
              <w:rPr>
                <w:rFonts w:ascii="Calibri" w:hAnsi="Calibri"/>
                <w:color w:val="000000"/>
              </w:rPr>
            </w:pPr>
            <w:r>
              <w:rPr>
                <w:rFonts w:ascii="Calibri" w:hAnsi="Calibri"/>
                <w:color w:val="000000"/>
              </w:rPr>
              <w:t>22.0%</w:t>
            </w:r>
          </w:p>
        </w:tc>
        <w:tc>
          <w:tcPr>
            <w:tcW w:w="1275" w:type="dxa"/>
            <w:tcBorders>
              <w:top w:val="single" w:sz="4" w:space="0" w:color="auto"/>
              <w:left w:val="nil"/>
              <w:bottom w:val="single" w:sz="4" w:space="0" w:color="auto"/>
              <w:right w:val="nil"/>
            </w:tcBorders>
            <w:shd w:val="clear" w:color="auto" w:fill="auto"/>
            <w:vAlign w:val="bottom"/>
          </w:tcPr>
          <w:p w:rsidR="00C97782" w:rsidRDefault="00C97782" w:rsidP="00C97782">
            <w:pPr>
              <w:jc w:val="center"/>
              <w:rPr>
                <w:rFonts w:ascii="Calibri" w:hAnsi="Calibri"/>
              </w:rPr>
            </w:pPr>
            <w:r>
              <w:rPr>
                <w:rFonts w:ascii="Calibri" w:hAnsi="Calibri"/>
              </w:rPr>
              <w:t>23%</w:t>
            </w:r>
          </w:p>
        </w:tc>
        <w:tc>
          <w:tcPr>
            <w:tcW w:w="2268" w:type="dxa"/>
            <w:tcBorders>
              <w:top w:val="nil"/>
              <w:left w:val="single" w:sz="8" w:space="0" w:color="000000"/>
              <w:bottom w:val="single" w:sz="8" w:space="0" w:color="000000"/>
              <w:right w:val="single" w:sz="8" w:space="0" w:color="000000"/>
            </w:tcBorders>
            <w:shd w:val="clear" w:color="auto" w:fill="auto"/>
            <w:vAlign w:val="center"/>
          </w:tcPr>
          <w:p w:rsidR="00C97782" w:rsidRDefault="00C97782" w:rsidP="00C97782">
            <w:pPr>
              <w:jc w:val="center"/>
              <w:rPr>
                <w:rFonts w:ascii="Calibri" w:hAnsi="Calibri"/>
                <w:color w:val="000000"/>
              </w:rPr>
            </w:pPr>
            <w:r>
              <w:rPr>
                <w:rFonts w:ascii="Calibri" w:hAnsi="Calibri"/>
                <w:color w:val="000000"/>
              </w:rPr>
              <w:t>6.2%</w:t>
            </w:r>
          </w:p>
        </w:tc>
        <w:tc>
          <w:tcPr>
            <w:tcW w:w="1701" w:type="dxa"/>
            <w:tcBorders>
              <w:top w:val="single" w:sz="4" w:space="0" w:color="auto"/>
              <w:left w:val="nil"/>
              <w:bottom w:val="single" w:sz="4" w:space="0" w:color="auto"/>
              <w:right w:val="single" w:sz="4" w:space="0" w:color="auto"/>
            </w:tcBorders>
          </w:tcPr>
          <w:p w:rsidR="00C97782" w:rsidRPr="00F92CCB" w:rsidRDefault="00C97782" w:rsidP="00C97782">
            <w:r w:rsidRPr="00F92CCB">
              <w:t>17%</w:t>
            </w:r>
          </w:p>
        </w:tc>
      </w:tr>
      <w:tr w:rsidR="00C97782" w:rsidTr="005758EB">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rsidR="00C97782" w:rsidRDefault="00C97782" w:rsidP="00C97782">
            <w:pPr>
              <w:jc w:val="center"/>
              <w:rPr>
                <w:rFonts w:ascii="Calibri" w:hAnsi="Calibri"/>
                <w:b/>
                <w:bCs/>
                <w:color w:val="000000"/>
              </w:rPr>
            </w:pPr>
            <w:r>
              <w:rPr>
                <w:rFonts w:ascii="Calibri" w:hAnsi="Calibri"/>
                <w:b/>
                <w:bCs/>
                <w:color w:val="000000"/>
              </w:rPr>
              <w:t>25-29</w:t>
            </w:r>
          </w:p>
        </w:tc>
        <w:tc>
          <w:tcPr>
            <w:tcW w:w="1275" w:type="dxa"/>
            <w:tcBorders>
              <w:top w:val="nil"/>
              <w:left w:val="nil"/>
              <w:bottom w:val="single" w:sz="4" w:space="0" w:color="auto"/>
              <w:right w:val="single" w:sz="4" w:space="0" w:color="auto"/>
            </w:tcBorders>
            <w:shd w:val="clear" w:color="auto" w:fill="auto"/>
            <w:noWrap/>
            <w:vAlign w:val="bottom"/>
            <w:hideMark/>
          </w:tcPr>
          <w:p w:rsidR="00C97782" w:rsidRDefault="00C97782" w:rsidP="00C97782">
            <w:pPr>
              <w:jc w:val="center"/>
              <w:rPr>
                <w:rFonts w:ascii="Calibri" w:hAnsi="Calibri"/>
                <w:color w:val="000000"/>
              </w:rPr>
            </w:pPr>
            <w:r>
              <w:rPr>
                <w:rFonts w:ascii="Calibri" w:hAnsi="Calibri"/>
                <w:color w:val="000000"/>
              </w:rPr>
              <w:t>16.1%</w:t>
            </w:r>
          </w:p>
        </w:tc>
        <w:tc>
          <w:tcPr>
            <w:tcW w:w="1135" w:type="dxa"/>
            <w:tcBorders>
              <w:top w:val="nil"/>
              <w:left w:val="nil"/>
              <w:bottom w:val="single" w:sz="4" w:space="0" w:color="auto"/>
              <w:right w:val="single" w:sz="4" w:space="0" w:color="auto"/>
            </w:tcBorders>
            <w:shd w:val="clear" w:color="auto" w:fill="auto"/>
            <w:noWrap/>
            <w:vAlign w:val="bottom"/>
            <w:hideMark/>
          </w:tcPr>
          <w:p w:rsidR="00C97782" w:rsidRDefault="00C97782" w:rsidP="00C97782">
            <w:pPr>
              <w:jc w:val="center"/>
              <w:rPr>
                <w:rFonts w:ascii="Calibri" w:hAnsi="Calibri"/>
                <w:color w:val="000000"/>
              </w:rPr>
            </w:pPr>
            <w:r>
              <w:rPr>
                <w:rFonts w:ascii="Calibri" w:hAnsi="Calibri"/>
                <w:color w:val="000000"/>
              </w:rPr>
              <w:t>13.3%</w:t>
            </w:r>
          </w:p>
        </w:tc>
        <w:tc>
          <w:tcPr>
            <w:tcW w:w="1275" w:type="dxa"/>
            <w:tcBorders>
              <w:top w:val="single" w:sz="4" w:space="0" w:color="auto"/>
              <w:left w:val="nil"/>
              <w:bottom w:val="single" w:sz="4" w:space="0" w:color="auto"/>
              <w:right w:val="nil"/>
            </w:tcBorders>
            <w:shd w:val="clear" w:color="auto" w:fill="auto"/>
            <w:vAlign w:val="bottom"/>
          </w:tcPr>
          <w:p w:rsidR="00C97782" w:rsidRDefault="00C97782" w:rsidP="00C97782">
            <w:pPr>
              <w:jc w:val="center"/>
              <w:rPr>
                <w:rFonts w:ascii="Calibri" w:hAnsi="Calibri"/>
              </w:rPr>
            </w:pPr>
            <w:r>
              <w:rPr>
                <w:rFonts w:ascii="Calibri" w:hAnsi="Calibri"/>
              </w:rPr>
              <w:t>15%</w:t>
            </w:r>
          </w:p>
        </w:tc>
        <w:tc>
          <w:tcPr>
            <w:tcW w:w="2268" w:type="dxa"/>
            <w:tcBorders>
              <w:top w:val="nil"/>
              <w:left w:val="single" w:sz="8" w:space="0" w:color="000000"/>
              <w:bottom w:val="single" w:sz="8" w:space="0" w:color="000000"/>
              <w:right w:val="single" w:sz="8" w:space="0" w:color="000000"/>
            </w:tcBorders>
            <w:shd w:val="clear" w:color="auto" w:fill="auto"/>
            <w:vAlign w:val="center"/>
          </w:tcPr>
          <w:p w:rsidR="00C97782" w:rsidRDefault="00C97782" w:rsidP="00C97782">
            <w:pPr>
              <w:jc w:val="center"/>
              <w:rPr>
                <w:rFonts w:ascii="Calibri" w:hAnsi="Calibri"/>
                <w:color w:val="000000"/>
              </w:rPr>
            </w:pPr>
            <w:r>
              <w:rPr>
                <w:rFonts w:ascii="Calibri" w:hAnsi="Calibri"/>
                <w:color w:val="000000"/>
              </w:rPr>
              <w:t>9.2%</w:t>
            </w:r>
          </w:p>
        </w:tc>
        <w:tc>
          <w:tcPr>
            <w:tcW w:w="1701" w:type="dxa"/>
            <w:tcBorders>
              <w:top w:val="nil"/>
              <w:left w:val="nil"/>
              <w:bottom w:val="single" w:sz="4" w:space="0" w:color="auto"/>
              <w:right w:val="single" w:sz="4" w:space="0" w:color="auto"/>
            </w:tcBorders>
          </w:tcPr>
          <w:p w:rsidR="00C97782" w:rsidRPr="00F92CCB" w:rsidRDefault="00C97782" w:rsidP="00C97782">
            <w:r w:rsidRPr="00F92CCB">
              <w:t>17%</w:t>
            </w:r>
          </w:p>
        </w:tc>
      </w:tr>
      <w:tr w:rsidR="00C97782" w:rsidTr="005758EB">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rsidR="00C97782" w:rsidRDefault="00C97782" w:rsidP="00C97782">
            <w:pPr>
              <w:jc w:val="center"/>
              <w:rPr>
                <w:rFonts w:ascii="Calibri" w:hAnsi="Calibri"/>
                <w:b/>
                <w:bCs/>
                <w:color w:val="000000"/>
              </w:rPr>
            </w:pPr>
            <w:r>
              <w:rPr>
                <w:rFonts w:ascii="Calibri" w:hAnsi="Calibri"/>
                <w:b/>
                <w:bCs/>
                <w:color w:val="000000"/>
              </w:rPr>
              <w:t>30-34</w:t>
            </w:r>
          </w:p>
        </w:tc>
        <w:tc>
          <w:tcPr>
            <w:tcW w:w="1275" w:type="dxa"/>
            <w:tcBorders>
              <w:top w:val="nil"/>
              <w:left w:val="nil"/>
              <w:bottom w:val="single" w:sz="4" w:space="0" w:color="auto"/>
              <w:right w:val="single" w:sz="4" w:space="0" w:color="auto"/>
            </w:tcBorders>
            <w:shd w:val="clear" w:color="auto" w:fill="auto"/>
            <w:noWrap/>
            <w:vAlign w:val="bottom"/>
            <w:hideMark/>
          </w:tcPr>
          <w:p w:rsidR="00C97782" w:rsidRDefault="00C97782" w:rsidP="00C97782">
            <w:pPr>
              <w:jc w:val="center"/>
              <w:rPr>
                <w:rFonts w:ascii="Calibri" w:hAnsi="Calibri"/>
                <w:color w:val="000000"/>
              </w:rPr>
            </w:pPr>
            <w:r>
              <w:rPr>
                <w:rFonts w:ascii="Calibri" w:hAnsi="Calibri"/>
                <w:color w:val="000000"/>
              </w:rPr>
              <w:t>8.8%</w:t>
            </w:r>
          </w:p>
        </w:tc>
        <w:tc>
          <w:tcPr>
            <w:tcW w:w="1135" w:type="dxa"/>
            <w:tcBorders>
              <w:top w:val="nil"/>
              <w:left w:val="nil"/>
              <w:bottom w:val="single" w:sz="4" w:space="0" w:color="auto"/>
              <w:right w:val="single" w:sz="4" w:space="0" w:color="auto"/>
            </w:tcBorders>
            <w:shd w:val="clear" w:color="auto" w:fill="auto"/>
            <w:noWrap/>
            <w:vAlign w:val="bottom"/>
            <w:hideMark/>
          </w:tcPr>
          <w:p w:rsidR="00C97782" w:rsidRDefault="00C97782" w:rsidP="00C97782">
            <w:pPr>
              <w:jc w:val="center"/>
              <w:rPr>
                <w:rFonts w:ascii="Calibri" w:hAnsi="Calibri"/>
                <w:color w:val="000000"/>
              </w:rPr>
            </w:pPr>
            <w:r>
              <w:rPr>
                <w:rFonts w:ascii="Calibri" w:hAnsi="Calibri"/>
                <w:color w:val="000000"/>
              </w:rPr>
              <w:t>8.9%</w:t>
            </w:r>
          </w:p>
        </w:tc>
        <w:tc>
          <w:tcPr>
            <w:tcW w:w="1275" w:type="dxa"/>
            <w:tcBorders>
              <w:top w:val="single" w:sz="4" w:space="0" w:color="auto"/>
              <w:left w:val="nil"/>
              <w:bottom w:val="single" w:sz="4" w:space="0" w:color="auto"/>
              <w:right w:val="nil"/>
            </w:tcBorders>
            <w:shd w:val="clear" w:color="auto" w:fill="auto"/>
            <w:vAlign w:val="bottom"/>
          </w:tcPr>
          <w:p w:rsidR="00C97782" w:rsidRDefault="00C97782" w:rsidP="00C97782">
            <w:pPr>
              <w:jc w:val="center"/>
              <w:rPr>
                <w:rFonts w:ascii="Calibri" w:hAnsi="Calibri"/>
              </w:rPr>
            </w:pPr>
            <w:r>
              <w:rPr>
                <w:rFonts w:ascii="Calibri" w:hAnsi="Calibri"/>
              </w:rPr>
              <w:t>11%</w:t>
            </w:r>
          </w:p>
        </w:tc>
        <w:tc>
          <w:tcPr>
            <w:tcW w:w="2268" w:type="dxa"/>
            <w:tcBorders>
              <w:top w:val="nil"/>
              <w:left w:val="single" w:sz="8" w:space="0" w:color="000000"/>
              <w:bottom w:val="single" w:sz="8" w:space="0" w:color="000000"/>
              <w:right w:val="single" w:sz="8" w:space="0" w:color="000000"/>
            </w:tcBorders>
            <w:shd w:val="clear" w:color="auto" w:fill="auto"/>
            <w:vAlign w:val="center"/>
          </w:tcPr>
          <w:p w:rsidR="00C97782" w:rsidRDefault="00C97782" w:rsidP="00C97782">
            <w:pPr>
              <w:jc w:val="center"/>
              <w:rPr>
                <w:rFonts w:ascii="Calibri" w:hAnsi="Calibri"/>
                <w:color w:val="000000"/>
              </w:rPr>
            </w:pPr>
            <w:r>
              <w:rPr>
                <w:rFonts w:ascii="Calibri" w:hAnsi="Calibri"/>
                <w:color w:val="000000"/>
              </w:rPr>
              <w:t>8.6%</w:t>
            </w:r>
          </w:p>
        </w:tc>
        <w:tc>
          <w:tcPr>
            <w:tcW w:w="1701" w:type="dxa"/>
            <w:tcBorders>
              <w:top w:val="nil"/>
              <w:left w:val="nil"/>
              <w:bottom w:val="single" w:sz="4" w:space="0" w:color="auto"/>
              <w:right w:val="single" w:sz="4" w:space="0" w:color="auto"/>
            </w:tcBorders>
          </w:tcPr>
          <w:p w:rsidR="00C97782" w:rsidRPr="00F92CCB" w:rsidRDefault="00C97782" w:rsidP="00C97782">
            <w:r w:rsidRPr="00F92CCB">
              <w:t>13%</w:t>
            </w:r>
          </w:p>
        </w:tc>
      </w:tr>
      <w:tr w:rsidR="00C97782" w:rsidTr="005758EB">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rsidR="00C97782" w:rsidRDefault="00C97782" w:rsidP="00C97782">
            <w:pPr>
              <w:jc w:val="center"/>
              <w:rPr>
                <w:rFonts w:ascii="Calibri" w:hAnsi="Calibri"/>
                <w:b/>
                <w:bCs/>
                <w:color w:val="000000"/>
              </w:rPr>
            </w:pPr>
            <w:r>
              <w:rPr>
                <w:rFonts w:ascii="Calibri" w:hAnsi="Calibri"/>
                <w:b/>
                <w:bCs/>
                <w:color w:val="000000"/>
              </w:rPr>
              <w:t>35-39</w:t>
            </w:r>
          </w:p>
        </w:tc>
        <w:tc>
          <w:tcPr>
            <w:tcW w:w="1275" w:type="dxa"/>
            <w:tcBorders>
              <w:top w:val="nil"/>
              <w:left w:val="nil"/>
              <w:bottom w:val="single" w:sz="4" w:space="0" w:color="auto"/>
              <w:right w:val="single" w:sz="4" w:space="0" w:color="auto"/>
            </w:tcBorders>
            <w:shd w:val="clear" w:color="auto" w:fill="auto"/>
            <w:noWrap/>
            <w:vAlign w:val="bottom"/>
            <w:hideMark/>
          </w:tcPr>
          <w:p w:rsidR="00C97782" w:rsidRDefault="00C97782" w:rsidP="00C97782">
            <w:pPr>
              <w:jc w:val="center"/>
              <w:rPr>
                <w:rFonts w:ascii="Calibri" w:hAnsi="Calibri"/>
                <w:color w:val="000000"/>
              </w:rPr>
            </w:pPr>
            <w:r>
              <w:rPr>
                <w:rFonts w:ascii="Calibri" w:hAnsi="Calibri"/>
                <w:color w:val="000000"/>
              </w:rPr>
              <w:t>8.1%</w:t>
            </w:r>
          </w:p>
        </w:tc>
        <w:tc>
          <w:tcPr>
            <w:tcW w:w="1135" w:type="dxa"/>
            <w:tcBorders>
              <w:top w:val="nil"/>
              <w:left w:val="nil"/>
              <w:bottom w:val="single" w:sz="4" w:space="0" w:color="auto"/>
              <w:right w:val="single" w:sz="4" w:space="0" w:color="auto"/>
            </w:tcBorders>
            <w:shd w:val="clear" w:color="auto" w:fill="auto"/>
            <w:noWrap/>
            <w:vAlign w:val="bottom"/>
            <w:hideMark/>
          </w:tcPr>
          <w:p w:rsidR="00C97782" w:rsidRDefault="00C97782" w:rsidP="00C97782">
            <w:pPr>
              <w:jc w:val="center"/>
              <w:rPr>
                <w:rFonts w:ascii="Calibri" w:hAnsi="Calibri"/>
                <w:color w:val="000000"/>
              </w:rPr>
            </w:pPr>
            <w:r>
              <w:rPr>
                <w:rFonts w:ascii="Calibri" w:hAnsi="Calibri"/>
                <w:color w:val="000000"/>
              </w:rPr>
              <w:t>9.8%</w:t>
            </w:r>
          </w:p>
        </w:tc>
        <w:tc>
          <w:tcPr>
            <w:tcW w:w="1275" w:type="dxa"/>
            <w:tcBorders>
              <w:top w:val="single" w:sz="4" w:space="0" w:color="auto"/>
              <w:left w:val="nil"/>
              <w:bottom w:val="single" w:sz="4" w:space="0" w:color="auto"/>
              <w:right w:val="nil"/>
            </w:tcBorders>
            <w:shd w:val="clear" w:color="auto" w:fill="auto"/>
            <w:vAlign w:val="bottom"/>
          </w:tcPr>
          <w:p w:rsidR="00C97782" w:rsidRDefault="00C97782" w:rsidP="00C97782">
            <w:pPr>
              <w:jc w:val="center"/>
              <w:rPr>
                <w:rFonts w:ascii="Calibri" w:hAnsi="Calibri"/>
              </w:rPr>
            </w:pPr>
            <w:r>
              <w:rPr>
                <w:rFonts w:ascii="Calibri" w:hAnsi="Calibri"/>
              </w:rPr>
              <w:t>9%</w:t>
            </w:r>
          </w:p>
        </w:tc>
        <w:tc>
          <w:tcPr>
            <w:tcW w:w="2268" w:type="dxa"/>
            <w:tcBorders>
              <w:top w:val="nil"/>
              <w:left w:val="single" w:sz="8" w:space="0" w:color="000000"/>
              <w:bottom w:val="single" w:sz="8" w:space="0" w:color="000000"/>
              <w:right w:val="single" w:sz="8" w:space="0" w:color="000000"/>
            </w:tcBorders>
            <w:shd w:val="clear" w:color="auto" w:fill="auto"/>
            <w:vAlign w:val="center"/>
          </w:tcPr>
          <w:p w:rsidR="00C97782" w:rsidRDefault="00C97782" w:rsidP="00C97782">
            <w:pPr>
              <w:jc w:val="center"/>
              <w:rPr>
                <w:rFonts w:ascii="Calibri" w:hAnsi="Calibri"/>
                <w:color w:val="000000"/>
              </w:rPr>
            </w:pPr>
            <w:r>
              <w:rPr>
                <w:rFonts w:ascii="Calibri" w:hAnsi="Calibri"/>
                <w:color w:val="000000"/>
              </w:rPr>
              <w:t>12.2%</w:t>
            </w:r>
          </w:p>
        </w:tc>
        <w:tc>
          <w:tcPr>
            <w:tcW w:w="1701" w:type="dxa"/>
            <w:tcBorders>
              <w:top w:val="nil"/>
              <w:left w:val="nil"/>
              <w:bottom w:val="single" w:sz="4" w:space="0" w:color="auto"/>
              <w:right w:val="single" w:sz="4" w:space="0" w:color="auto"/>
            </w:tcBorders>
          </w:tcPr>
          <w:p w:rsidR="00C97782" w:rsidRPr="00F92CCB" w:rsidRDefault="00C97782" w:rsidP="00C97782">
            <w:r w:rsidRPr="00F92CCB">
              <w:t>7%</w:t>
            </w:r>
          </w:p>
        </w:tc>
      </w:tr>
      <w:tr w:rsidR="00C97782" w:rsidTr="005758EB">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rsidR="00C97782" w:rsidRDefault="00C97782" w:rsidP="00C97782">
            <w:pPr>
              <w:jc w:val="center"/>
              <w:rPr>
                <w:rFonts w:ascii="Calibri" w:hAnsi="Calibri"/>
                <w:b/>
                <w:bCs/>
                <w:color w:val="000000"/>
              </w:rPr>
            </w:pPr>
            <w:r>
              <w:rPr>
                <w:rFonts w:ascii="Calibri" w:hAnsi="Calibri"/>
                <w:b/>
                <w:bCs/>
                <w:color w:val="000000"/>
              </w:rPr>
              <w:t>40-44</w:t>
            </w:r>
          </w:p>
        </w:tc>
        <w:tc>
          <w:tcPr>
            <w:tcW w:w="1275" w:type="dxa"/>
            <w:tcBorders>
              <w:top w:val="nil"/>
              <w:left w:val="nil"/>
              <w:bottom w:val="single" w:sz="4" w:space="0" w:color="auto"/>
              <w:right w:val="single" w:sz="4" w:space="0" w:color="auto"/>
            </w:tcBorders>
            <w:shd w:val="clear" w:color="auto" w:fill="auto"/>
            <w:noWrap/>
            <w:vAlign w:val="bottom"/>
            <w:hideMark/>
          </w:tcPr>
          <w:p w:rsidR="00C97782" w:rsidRDefault="00C97782" w:rsidP="00C97782">
            <w:pPr>
              <w:jc w:val="center"/>
              <w:rPr>
                <w:rFonts w:ascii="Calibri" w:hAnsi="Calibri"/>
                <w:color w:val="000000"/>
              </w:rPr>
            </w:pPr>
            <w:r>
              <w:rPr>
                <w:rFonts w:ascii="Calibri" w:hAnsi="Calibri"/>
                <w:color w:val="000000"/>
              </w:rPr>
              <w:t>12.1%</w:t>
            </w:r>
          </w:p>
        </w:tc>
        <w:tc>
          <w:tcPr>
            <w:tcW w:w="1135" w:type="dxa"/>
            <w:tcBorders>
              <w:top w:val="nil"/>
              <w:left w:val="nil"/>
              <w:bottom w:val="single" w:sz="4" w:space="0" w:color="auto"/>
              <w:right w:val="single" w:sz="4" w:space="0" w:color="auto"/>
            </w:tcBorders>
            <w:shd w:val="clear" w:color="auto" w:fill="auto"/>
            <w:noWrap/>
            <w:vAlign w:val="bottom"/>
            <w:hideMark/>
          </w:tcPr>
          <w:p w:rsidR="00C97782" w:rsidRDefault="00C97782" w:rsidP="00C97782">
            <w:pPr>
              <w:jc w:val="center"/>
              <w:rPr>
                <w:rFonts w:ascii="Calibri" w:hAnsi="Calibri"/>
                <w:color w:val="000000"/>
              </w:rPr>
            </w:pPr>
            <w:r>
              <w:rPr>
                <w:rFonts w:ascii="Calibri" w:hAnsi="Calibri"/>
                <w:color w:val="000000"/>
              </w:rPr>
              <w:t>13.1%</w:t>
            </w:r>
          </w:p>
        </w:tc>
        <w:tc>
          <w:tcPr>
            <w:tcW w:w="1275" w:type="dxa"/>
            <w:tcBorders>
              <w:top w:val="single" w:sz="4" w:space="0" w:color="auto"/>
              <w:left w:val="nil"/>
              <w:bottom w:val="single" w:sz="4" w:space="0" w:color="auto"/>
              <w:right w:val="nil"/>
            </w:tcBorders>
            <w:shd w:val="clear" w:color="auto" w:fill="auto"/>
            <w:vAlign w:val="bottom"/>
          </w:tcPr>
          <w:p w:rsidR="00C97782" w:rsidRDefault="00C97782" w:rsidP="00C97782">
            <w:pPr>
              <w:jc w:val="center"/>
              <w:rPr>
                <w:rFonts w:ascii="Calibri" w:hAnsi="Calibri"/>
              </w:rPr>
            </w:pPr>
            <w:r>
              <w:rPr>
                <w:rFonts w:ascii="Calibri" w:hAnsi="Calibri"/>
              </w:rPr>
              <w:t>10%</w:t>
            </w:r>
          </w:p>
        </w:tc>
        <w:tc>
          <w:tcPr>
            <w:tcW w:w="2268" w:type="dxa"/>
            <w:tcBorders>
              <w:top w:val="nil"/>
              <w:left w:val="single" w:sz="8" w:space="0" w:color="000000"/>
              <w:bottom w:val="single" w:sz="8" w:space="0" w:color="000000"/>
              <w:right w:val="single" w:sz="8" w:space="0" w:color="000000"/>
            </w:tcBorders>
            <w:shd w:val="clear" w:color="auto" w:fill="auto"/>
            <w:vAlign w:val="center"/>
          </w:tcPr>
          <w:p w:rsidR="00C97782" w:rsidRDefault="00C97782" w:rsidP="00C97782">
            <w:pPr>
              <w:jc w:val="center"/>
              <w:rPr>
                <w:rFonts w:ascii="Calibri" w:hAnsi="Calibri"/>
                <w:color w:val="000000"/>
              </w:rPr>
            </w:pPr>
            <w:r>
              <w:rPr>
                <w:rFonts w:ascii="Calibri" w:hAnsi="Calibri"/>
                <w:color w:val="000000"/>
              </w:rPr>
              <w:t>11.7%</w:t>
            </w:r>
          </w:p>
        </w:tc>
        <w:tc>
          <w:tcPr>
            <w:tcW w:w="1701" w:type="dxa"/>
            <w:tcBorders>
              <w:top w:val="nil"/>
              <w:left w:val="nil"/>
              <w:bottom w:val="single" w:sz="4" w:space="0" w:color="auto"/>
              <w:right w:val="single" w:sz="4" w:space="0" w:color="auto"/>
            </w:tcBorders>
          </w:tcPr>
          <w:p w:rsidR="00C97782" w:rsidRPr="00F92CCB" w:rsidRDefault="00C97782" w:rsidP="00C97782">
            <w:r w:rsidRPr="00F92CCB">
              <w:t>12%</w:t>
            </w:r>
          </w:p>
        </w:tc>
      </w:tr>
      <w:tr w:rsidR="00C97782" w:rsidTr="005758EB">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rsidR="00C97782" w:rsidRDefault="00C97782" w:rsidP="00C97782">
            <w:pPr>
              <w:jc w:val="center"/>
              <w:rPr>
                <w:rFonts w:ascii="Calibri" w:hAnsi="Calibri"/>
                <w:b/>
                <w:bCs/>
                <w:color w:val="000000"/>
              </w:rPr>
            </w:pPr>
            <w:r>
              <w:rPr>
                <w:rFonts w:ascii="Calibri" w:hAnsi="Calibri"/>
                <w:b/>
                <w:bCs/>
                <w:color w:val="000000"/>
              </w:rPr>
              <w:t>45-49</w:t>
            </w:r>
          </w:p>
        </w:tc>
        <w:tc>
          <w:tcPr>
            <w:tcW w:w="1275" w:type="dxa"/>
            <w:tcBorders>
              <w:top w:val="nil"/>
              <w:left w:val="nil"/>
              <w:bottom w:val="single" w:sz="4" w:space="0" w:color="auto"/>
              <w:right w:val="single" w:sz="4" w:space="0" w:color="auto"/>
            </w:tcBorders>
            <w:shd w:val="clear" w:color="auto" w:fill="auto"/>
            <w:noWrap/>
            <w:vAlign w:val="bottom"/>
            <w:hideMark/>
          </w:tcPr>
          <w:p w:rsidR="00C97782" w:rsidRDefault="00C97782" w:rsidP="00C97782">
            <w:pPr>
              <w:jc w:val="center"/>
              <w:rPr>
                <w:rFonts w:ascii="Calibri" w:hAnsi="Calibri"/>
                <w:color w:val="000000"/>
              </w:rPr>
            </w:pPr>
            <w:r>
              <w:rPr>
                <w:rFonts w:ascii="Calibri" w:hAnsi="Calibri"/>
                <w:color w:val="000000"/>
              </w:rPr>
              <w:t>10.7%</w:t>
            </w:r>
          </w:p>
        </w:tc>
        <w:tc>
          <w:tcPr>
            <w:tcW w:w="1135" w:type="dxa"/>
            <w:tcBorders>
              <w:top w:val="nil"/>
              <w:left w:val="nil"/>
              <w:bottom w:val="single" w:sz="4" w:space="0" w:color="auto"/>
              <w:right w:val="single" w:sz="4" w:space="0" w:color="auto"/>
            </w:tcBorders>
            <w:shd w:val="clear" w:color="auto" w:fill="auto"/>
            <w:noWrap/>
            <w:vAlign w:val="bottom"/>
            <w:hideMark/>
          </w:tcPr>
          <w:p w:rsidR="00C97782" w:rsidRDefault="00C97782" w:rsidP="00C97782">
            <w:pPr>
              <w:jc w:val="center"/>
              <w:rPr>
                <w:rFonts w:ascii="Calibri" w:hAnsi="Calibri"/>
                <w:color w:val="000000"/>
              </w:rPr>
            </w:pPr>
            <w:r>
              <w:rPr>
                <w:rFonts w:ascii="Calibri" w:hAnsi="Calibri"/>
                <w:color w:val="000000"/>
              </w:rPr>
              <w:t>9.9%</w:t>
            </w:r>
          </w:p>
        </w:tc>
        <w:tc>
          <w:tcPr>
            <w:tcW w:w="1275" w:type="dxa"/>
            <w:tcBorders>
              <w:top w:val="single" w:sz="4" w:space="0" w:color="auto"/>
              <w:left w:val="nil"/>
              <w:bottom w:val="single" w:sz="4" w:space="0" w:color="auto"/>
              <w:right w:val="nil"/>
            </w:tcBorders>
            <w:shd w:val="clear" w:color="auto" w:fill="auto"/>
            <w:vAlign w:val="bottom"/>
          </w:tcPr>
          <w:p w:rsidR="00C97782" w:rsidRDefault="00C97782" w:rsidP="00C97782">
            <w:pPr>
              <w:jc w:val="center"/>
              <w:rPr>
                <w:rFonts w:ascii="Calibri" w:hAnsi="Calibri"/>
              </w:rPr>
            </w:pPr>
            <w:r>
              <w:rPr>
                <w:rFonts w:ascii="Calibri" w:hAnsi="Calibri"/>
              </w:rPr>
              <w:t>11%</w:t>
            </w:r>
          </w:p>
        </w:tc>
        <w:tc>
          <w:tcPr>
            <w:tcW w:w="2268" w:type="dxa"/>
            <w:tcBorders>
              <w:top w:val="nil"/>
              <w:left w:val="single" w:sz="8" w:space="0" w:color="000000"/>
              <w:bottom w:val="single" w:sz="8" w:space="0" w:color="000000"/>
              <w:right w:val="single" w:sz="8" w:space="0" w:color="000000"/>
            </w:tcBorders>
            <w:shd w:val="clear" w:color="auto" w:fill="auto"/>
            <w:vAlign w:val="center"/>
          </w:tcPr>
          <w:p w:rsidR="00C97782" w:rsidRDefault="00C97782" w:rsidP="00C97782">
            <w:pPr>
              <w:jc w:val="center"/>
              <w:rPr>
                <w:rFonts w:ascii="Calibri" w:hAnsi="Calibri"/>
                <w:color w:val="000000"/>
              </w:rPr>
            </w:pPr>
            <w:r>
              <w:rPr>
                <w:rFonts w:ascii="Calibri" w:hAnsi="Calibri"/>
                <w:color w:val="000000"/>
              </w:rPr>
              <w:t>16.4%</w:t>
            </w:r>
          </w:p>
        </w:tc>
        <w:tc>
          <w:tcPr>
            <w:tcW w:w="1701" w:type="dxa"/>
            <w:tcBorders>
              <w:top w:val="nil"/>
              <w:left w:val="nil"/>
              <w:bottom w:val="single" w:sz="4" w:space="0" w:color="auto"/>
              <w:right w:val="single" w:sz="4" w:space="0" w:color="auto"/>
            </w:tcBorders>
          </w:tcPr>
          <w:p w:rsidR="00C97782" w:rsidRPr="00F92CCB" w:rsidRDefault="00C97782" w:rsidP="00C97782">
            <w:r w:rsidRPr="00F92CCB">
              <w:t>14%</w:t>
            </w:r>
          </w:p>
        </w:tc>
      </w:tr>
      <w:tr w:rsidR="00C97782" w:rsidTr="005758EB">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rsidR="00C97782" w:rsidRDefault="00C97782" w:rsidP="00C97782">
            <w:pPr>
              <w:jc w:val="center"/>
              <w:rPr>
                <w:rFonts w:ascii="Calibri" w:hAnsi="Calibri"/>
                <w:b/>
                <w:bCs/>
                <w:color w:val="000000"/>
              </w:rPr>
            </w:pPr>
            <w:r>
              <w:rPr>
                <w:rFonts w:ascii="Calibri" w:hAnsi="Calibri"/>
                <w:b/>
                <w:bCs/>
                <w:color w:val="000000"/>
              </w:rPr>
              <w:t>50-54</w:t>
            </w:r>
          </w:p>
        </w:tc>
        <w:tc>
          <w:tcPr>
            <w:tcW w:w="1275" w:type="dxa"/>
            <w:tcBorders>
              <w:top w:val="nil"/>
              <w:left w:val="nil"/>
              <w:bottom w:val="single" w:sz="4" w:space="0" w:color="auto"/>
              <w:right w:val="single" w:sz="4" w:space="0" w:color="auto"/>
            </w:tcBorders>
            <w:shd w:val="clear" w:color="auto" w:fill="auto"/>
            <w:noWrap/>
            <w:vAlign w:val="bottom"/>
            <w:hideMark/>
          </w:tcPr>
          <w:p w:rsidR="00C97782" w:rsidRDefault="00C97782" w:rsidP="00C97782">
            <w:pPr>
              <w:jc w:val="center"/>
              <w:rPr>
                <w:rFonts w:ascii="Calibri" w:hAnsi="Calibri"/>
                <w:color w:val="000000"/>
              </w:rPr>
            </w:pPr>
            <w:r>
              <w:rPr>
                <w:rFonts w:ascii="Calibri" w:hAnsi="Calibri"/>
                <w:color w:val="000000"/>
              </w:rPr>
              <w:t>12.0%</w:t>
            </w:r>
          </w:p>
        </w:tc>
        <w:tc>
          <w:tcPr>
            <w:tcW w:w="1135" w:type="dxa"/>
            <w:tcBorders>
              <w:top w:val="nil"/>
              <w:left w:val="nil"/>
              <w:bottom w:val="single" w:sz="4" w:space="0" w:color="auto"/>
              <w:right w:val="single" w:sz="4" w:space="0" w:color="auto"/>
            </w:tcBorders>
            <w:shd w:val="clear" w:color="auto" w:fill="auto"/>
            <w:noWrap/>
            <w:vAlign w:val="bottom"/>
            <w:hideMark/>
          </w:tcPr>
          <w:p w:rsidR="00C97782" w:rsidRDefault="00C97782" w:rsidP="00C97782">
            <w:pPr>
              <w:jc w:val="center"/>
              <w:rPr>
                <w:rFonts w:ascii="Calibri" w:hAnsi="Calibri"/>
                <w:color w:val="000000"/>
              </w:rPr>
            </w:pPr>
            <w:r>
              <w:rPr>
                <w:rFonts w:ascii="Calibri" w:hAnsi="Calibri"/>
                <w:color w:val="000000"/>
              </w:rPr>
              <w:t>12.3%</w:t>
            </w:r>
          </w:p>
        </w:tc>
        <w:tc>
          <w:tcPr>
            <w:tcW w:w="1275" w:type="dxa"/>
            <w:tcBorders>
              <w:top w:val="single" w:sz="4" w:space="0" w:color="auto"/>
              <w:left w:val="nil"/>
              <w:bottom w:val="single" w:sz="4" w:space="0" w:color="auto"/>
              <w:right w:val="nil"/>
            </w:tcBorders>
            <w:shd w:val="clear" w:color="auto" w:fill="auto"/>
            <w:vAlign w:val="bottom"/>
          </w:tcPr>
          <w:p w:rsidR="00C97782" w:rsidRDefault="00C97782" w:rsidP="00C97782">
            <w:pPr>
              <w:jc w:val="center"/>
              <w:rPr>
                <w:rFonts w:ascii="Calibri" w:hAnsi="Calibri"/>
              </w:rPr>
            </w:pPr>
            <w:r>
              <w:rPr>
                <w:rFonts w:ascii="Calibri" w:hAnsi="Calibri"/>
              </w:rPr>
              <w:t>10%</w:t>
            </w:r>
          </w:p>
        </w:tc>
        <w:tc>
          <w:tcPr>
            <w:tcW w:w="2268" w:type="dxa"/>
            <w:tcBorders>
              <w:top w:val="nil"/>
              <w:left w:val="single" w:sz="8" w:space="0" w:color="000000"/>
              <w:bottom w:val="single" w:sz="8" w:space="0" w:color="000000"/>
              <w:right w:val="single" w:sz="8" w:space="0" w:color="000000"/>
            </w:tcBorders>
            <w:shd w:val="clear" w:color="auto" w:fill="auto"/>
            <w:vAlign w:val="center"/>
          </w:tcPr>
          <w:p w:rsidR="00C97782" w:rsidRDefault="00C97782" w:rsidP="00C97782">
            <w:pPr>
              <w:jc w:val="center"/>
              <w:rPr>
                <w:rFonts w:ascii="Calibri" w:hAnsi="Calibri"/>
                <w:color w:val="000000"/>
              </w:rPr>
            </w:pPr>
            <w:r>
              <w:rPr>
                <w:rFonts w:ascii="Calibri" w:hAnsi="Calibri"/>
                <w:color w:val="000000"/>
              </w:rPr>
              <w:t>14.3%</w:t>
            </w:r>
          </w:p>
        </w:tc>
        <w:tc>
          <w:tcPr>
            <w:tcW w:w="1701" w:type="dxa"/>
            <w:tcBorders>
              <w:top w:val="nil"/>
              <w:left w:val="nil"/>
              <w:bottom w:val="single" w:sz="4" w:space="0" w:color="auto"/>
              <w:right w:val="single" w:sz="4" w:space="0" w:color="auto"/>
            </w:tcBorders>
          </w:tcPr>
          <w:p w:rsidR="00C97782" w:rsidRPr="00F92CCB" w:rsidRDefault="00C97782" w:rsidP="00C97782">
            <w:r w:rsidRPr="00F92CCB">
              <w:t>9%</w:t>
            </w:r>
          </w:p>
        </w:tc>
      </w:tr>
      <w:tr w:rsidR="00C97782" w:rsidTr="005758EB">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rsidR="00C97782" w:rsidRDefault="00C97782" w:rsidP="00C97782">
            <w:pPr>
              <w:jc w:val="center"/>
              <w:rPr>
                <w:rFonts w:ascii="Calibri" w:hAnsi="Calibri"/>
                <w:b/>
                <w:bCs/>
                <w:color w:val="000000"/>
              </w:rPr>
            </w:pPr>
            <w:r>
              <w:rPr>
                <w:rFonts w:ascii="Calibri" w:hAnsi="Calibri"/>
                <w:b/>
                <w:bCs/>
                <w:color w:val="000000"/>
              </w:rPr>
              <w:t>55-59</w:t>
            </w:r>
          </w:p>
        </w:tc>
        <w:tc>
          <w:tcPr>
            <w:tcW w:w="1275" w:type="dxa"/>
            <w:tcBorders>
              <w:top w:val="nil"/>
              <w:left w:val="nil"/>
              <w:bottom w:val="single" w:sz="4" w:space="0" w:color="auto"/>
              <w:right w:val="single" w:sz="4" w:space="0" w:color="auto"/>
            </w:tcBorders>
            <w:shd w:val="clear" w:color="auto" w:fill="auto"/>
            <w:noWrap/>
            <w:vAlign w:val="bottom"/>
            <w:hideMark/>
          </w:tcPr>
          <w:p w:rsidR="00C97782" w:rsidRDefault="00C97782" w:rsidP="00C97782">
            <w:pPr>
              <w:jc w:val="center"/>
              <w:rPr>
                <w:rFonts w:ascii="Calibri" w:hAnsi="Calibri"/>
                <w:color w:val="000000"/>
              </w:rPr>
            </w:pPr>
            <w:r>
              <w:rPr>
                <w:rFonts w:ascii="Calibri" w:hAnsi="Calibri"/>
                <w:color w:val="000000"/>
              </w:rPr>
              <w:t>8.9%</w:t>
            </w:r>
          </w:p>
        </w:tc>
        <w:tc>
          <w:tcPr>
            <w:tcW w:w="1135" w:type="dxa"/>
            <w:tcBorders>
              <w:top w:val="nil"/>
              <w:left w:val="nil"/>
              <w:bottom w:val="single" w:sz="4" w:space="0" w:color="auto"/>
              <w:right w:val="single" w:sz="4" w:space="0" w:color="auto"/>
            </w:tcBorders>
            <w:shd w:val="clear" w:color="auto" w:fill="auto"/>
            <w:noWrap/>
            <w:vAlign w:val="bottom"/>
            <w:hideMark/>
          </w:tcPr>
          <w:p w:rsidR="00C97782" w:rsidRDefault="00C97782" w:rsidP="00C97782">
            <w:pPr>
              <w:jc w:val="center"/>
              <w:rPr>
                <w:rFonts w:ascii="Calibri" w:hAnsi="Calibri"/>
                <w:color w:val="000000"/>
              </w:rPr>
            </w:pPr>
            <w:r>
              <w:rPr>
                <w:rFonts w:ascii="Calibri" w:hAnsi="Calibri"/>
                <w:color w:val="000000"/>
              </w:rPr>
              <w:t>7.4%</w:t>
            </w:r>
          </w:p>
        </w:tc>
        <w:tc>
          <w:tcPr>
            <w:tcW w:w="1275" w:type="dxa"/>
            <w:tcBorders>
              <w:top w:val="single" w:sz="4" w:space="0" w:color="auto"/>
              <w:left w:val="nil"/>
              <w:bottom w:val="single" w:sz="4" w:space="0" w:color="auto"/>
              <w:right w:val="nil"/>
            </w:tcBorders>
            <w:shd w:val="clear" w:color="auto" w:fill="auto"/>
            <w:vAlign w:val="bottom"/>
          </w:tcPr>
          <w:p w:rsidR="00C97782" w:rsidRDefault="00C97782" w:rsidP="00C97782">
            <w:pPr>
              <w:jc w:val="center"/>
              <w:rPr>
                <w:rFonts w:ascii="Calibri" w:hAnsi="Calibri"/>
              </w:rPr>
            </w:pPr>
            <w:r>
              <w:rPr>
                <w:rFonts w:ascii="Calibri" w:hAnsi="Calibri"/>
              </w:rPr>
              <w:t>6%</w:t>
            </w:r>
          </w:p>
        </w:tc>
        <w:tc>
          <w:tcPr>
            <w:tcW w:w="2268" w:type="dxa"/>
            <w:tcBorders>
              <w:top w:val="nil"/>
              <w:left w:val="single" w:sz="8" w:space="0" w:color="000000"/>
              <w:bottom w:val="single" w:sz="8" w:space="0" w:color="000000"/>
              <w:right w:val="single" w:sz="8" w:space="0" w:color="000000"/>
            </w:tcBorders>
            <w:shd w:val="clear" w:color="auto" w:fill="auto"/>
            <w:vAlign w:val="center"/>
          </w:tcPr>
          <w:p w:rsidR="00C97782" w:rsidRDefault="00C97782" w:rsidP="00C97782">
            <w:pPr>
              <w:jc w:val="center"/>
              <w:rPr>
                <w:rFonts w:ascii="Calibri" w:hAnsi="Calibri"/>
                <w:color w:val="000000"/>
              </w:rPr>
            </w:pPr>
            <w:r>
              <w:rPr>
                <w:rFonts w:ascii="Calibri" w:hAnsi="Calibri"/>
                <w:color w:val="000000"/>
              </w:rPr>
              <w:t>12.9%</w:t>
            </w:r>
          </w:p>
        </w:tc>
        <w:tc>
          <w:tcPr>
            <w:tcW w:w="1701" w:type="dxa"/>
            <w:tcBorders>
              <w:top w:val="nil"/>
              <w:left w:val="nil"/>
              <w:bottom w:val="single" w:sz="4" w:space="0" w:color="auto"/>
              <w:right w:val="single" w:sz="4" w:space="0" w:color="auto"/>
            </w:tcBorders>
          </w:tcPr>
          <w:p w:rsidR="00C97782" w:rsidRPr="00F92CCB" w:rsidRDefault="00C97782" w:rsidP="00C97782">
            <w:r w:rsidRPr="00F92CCB">
              <w:t>6%</w:t>
            </w:r>
          </w:p>
        </w:tc>
      </w:tr>
      <w:tr w:rsidR="00C97782" w:rsidTr="005758EB">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rsidR="00C97782" w:rsidRDefault="00C97782" w:rsidP="00C97782">
            <w:pPr>
              <w:jc w:val="center"/>
              <w:rPr>
                <w:rFonts w:ascii="Calibri" w:hAnsi="Calibri"/>
                <w:b/>
                <w:bCs/>
                <w:color w:val="000000"/>
              </w:rPr>
            </w:pPr>
            <w:r>
              <w:rPr>
                <w:rFonts w:ascii="Calibri" w:hAnsi="Calibri"/>
                <w:b/>
                <w:bCs/>
                <w:color w:val="000000"/>
              </w:rPr>
              <w:t>60-64</w:t>
            </w:r>
          </w:p>
        </w:tc>
        <w:tc>
          <w:tcPr>
            <w:tcW w:w="1275" w:type="dxa"/>
            <w:tcBorders>
              <w:top w:val="nil"/>
              <w:left w:val="nil"/>
              <w:bottom w:val="single" w:sz="4" w:space="0" w:color="auto"/>
              <w:right w:val="single" w:sz="4" w:space="0" w:color="auto"/>
            </w:tcBorders>
            <w:shd w:val="clear" w:color="auto" w:fill="auto"/>
            <w:noWrap/>
            <w:vAlign w:val="bottom"/>
            <w:hideMark/>
          </w:tcPr>
          <w:p w:rsidR="00C97782" w:rsidRDefault="00C97782" w:rsidP="00C97782">
            <w:pPr>
              <w:jc w:val="center"/>
              <w:rPr>
                <w:rFonts w:ascii="Calibri" w:hAnsi="Calibri"/>
                <w:color w:val="000000"/>
              </w:rPr>
            </w:pPr>
            <w:r>
              <w:rPr>
                <w:rFonts w:ascii="Calibri" w:hAnsi="Calibri"/>
                <w:color w:val="000000"/>
              </w:rPr>
              <w:t>2.7%</w:t>
            </w:r>
          </w:p>
        </w:tc>
        <w:tc>
          <w:tcPr>
            <w:tcW w:w="1135" w:type="dxa"/>
            <w:tcBorders>
              <w:top w:val="nil"/>
              <w:left w:val="nil"/>
              <w:bottom w:val="single" w:sz="4" w:space="0" w:color="auto"/>
              <w:right w:val="single" w:sz="4" w:space="0" w:color="auto"/>
            </w:tcBorders>
            <w:shd w:val="clear" w:color="auto" w:fill="auto"/>
            <w:noWrap/>
            <w:vAlign w:val="bottom"/>
            <w:hideMark/>
          </w:tcPr>
          <w:p w:rsidR="00C97782" w:rsidRDefault="00C97782" w:rsidP="00C97782">
            <w:pPr>
              <w:jc w:val="center"/>
              <w:rPr>
                <w:rFonts w:ascii="Calibri" w:hAnsi="Calibri"/>
                <w:color w:val="000000"/>
              </w:rPr>
            </w:pPr>
            <w:r>
              <w:rPr>
                <w:rFonts w:ascii="Calibri" w:hAnsi="Calibri"/>
                <w:color w:val="000000"/>
              </w:rPr>
              <w:t>3.0%</w:t>
            </w:r>
          </w:p>
        </w:tc>
        <w:tc>
          <w:tcPr>
            <w:tcW w:w="1275" w:type="dxa"/>
            <w:tcBorders>
              <w:top w:val="single" w:sz="4" w:space="0" w:color="auto"/>
              <w:left w:val="nil"/>
              <w:bottom w:val="single" w:sz="4" w:space="0" w:color="auto"/>
              <w:right w:val="nil"/>
            </w:tcBorders>
            <w:shd w:val="clear" w:color="auto" w:fill="auto"/>
            <w:vAlign w:val="bottom"/>
          </w:tcPr>
          <w:p w:rsidR="00C97782" w:rsidRDefault="00C97782" w:rsidP="00C97782">
            <w:pPr>
              <w:jc w:val="center"/>
              <w:rPr>
                <w:rFonts w:ascii="Calibri" w:hAnsi="Calibri"/>
              </w:rPr>
            </w:pPr>
            <w:r>
              <w:rPr>
                <w:rFonts w:ascii="Calibri" w:hAnsi="Calibri"/>
              </w:rPr>
              <w:t>4%</w:t>
            </w:r>
          </w:p>
        </w:tc>
        <w:tc>
          <w:tcPr>
            <w:tcW w:w="2268" w:type="dxa"/>
            <w:tcBorders>
              <w:top w:val="nil"/>
              <w:left w:val="single" w:sz="8" w:space="0" w:color="000000"/>
              <w:bottom w:val="single" w:sz="8" w:space="0" w:color="000000"/>
              <w:right w:val="single" w:sz="8" w:space="0" w:color="000000"/>
            </w:tcBorders>
            <w:shd w:val="clear" w:color="auto" w:fill="auto"/>
            <w:vAlign w:val="center"/>
          </w:tcPr>
          <w:p w:rsidR="00C97782" w:rsidRDefault="00C97782" w:rsidP="00C97782">
            <w:pPr>
              <w:jc w:val="center"/>
              <w:rPr>
                <w:rFonts w:ascii="Calibri" w:hAnsi="Calibri"/>
                <w:color w:val="000000"/>
              </w:rPr>
            </w:pPr>
            <w:r>
              <w:rPr>
                <w:rFonts w:ascii="Calibri" w:hAnsi="Calibri"/>
                <w:color w:val="000000"/>
              </w:rPr>
              <w:t>6.9%</w:t>
            </w:r>
          </w:p>
        </w:tc>
        <w:tc>
          <w:tcPr>
            <w:tcW w:w="1701" w:type="dxa"/>
            <w:tcBorders>
              <w:top w:val="nil"/>
              <w:left w:val="nil"/>
              <w:bottom w:val="single" w:sz="4" w:space="0" w:color="auto"/>
              <w:right w:val="single" w:sz="4" w:space="0" w:color="auto"/>
            </w:tcBorders>
          </w:tcPr>
          <w:p w:rsidR="00C97782" w:rsidRPr="00F92CCB" w:rsidRDefault="00C97782" w:rsidP="00C97782">
            <w:r w:rsidRPr="00F92CCB">
              <w:t>4%</w:t>
            </w:r>
          </w:p>
        </w:tc>
      </w:tr>
      <w:tr w:rsidR="00C97782" w:rsidTr="005758EB">
        <w:trPr>
          <w:trHeight w:val="300"/>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rsidR="00C97782" w:rsidRDefault="00C97782" w:rsidP="00C97782">
            <w:pPr>
              <w:jc w:val="center"/>
              <w:rPr>
                <w:rFonts w:ascii="Calibri" w:hAnsi="Calibri"/>
                <w:b/>
                <w:bCs/>
                <w:color w:val="000000"/>
              </w:rPr>
            </w:pPr>
            <w:r>
              <w:rPr>
                <w:rFonts w:ascii="Calibri" w:hAnsi="Calibri"/>
                <w:b/>
                <w:bCs/>
                <w:color w:val="000000"/>
              </w:rPr>
              <w:t>65+</w:t>
            </w:r>
          </w:p>
        </w:tc>
        <w:tc>
          <w:tcPr>
            <w:tcW w:w="1275" w:type="dxa"/>
            <w:tcBorders>
              <w:top w:val="nil"/>
              <w:left w:val="nil"/>
              <w:bottom w:val="single" w:sz="4" w:space="0" w:color="auto"/>
              <w:right w:val="single" w:sz="4" w:space="0" w:color="auto"/>
            </w:tcBorders>
            <w:shd w:val="clear" w:color="auto" w:fill="auto"/>
            <w:noWrap/>
            <w:vAlign w:val="bottom"/>
            <w:hideMark/>
          </w:tcPr>
          <w:p w:rsidR="00C97782" w:rsidRDefault="00C97782" w:rsidP="00C97782">
            <w:pPr>
              <w:jc w:val="center"/>
              <w:rPr>
                <w:rFonts w:ascii="Calibri" w:hAnsi="Calibri"/>
                <w:color w:val="000000"/>
              </w:rPr>
            </w:pPr>
            <w:r>
              <w:rPr>
                <w:rFonts w:ascii="Calibri" w:hAnsi="Calibri"/>
                <w:color w:val="000000"/>
              </w:rPr>
              <w:t>0.3%</w:t>
            </w:r>
          </w:p>
        </w:tc>
        <w:tc>
          <w:tcPr>
            <w:tcW w:w="1135" w:type="dxa"/>
            <w:tcBorders>
              <w:top w:val="nil"/>
              <w:left w:val="nil"/>
              <w:bottom w:val="single" w:sz="4" w:space="0" w:color="auto"/>
              <w:right w:val="single" w:sz="4" w:space="0" w:color="auto"/>
            </w:tcBorders>
            <w:shd w:val="clear" w:color="auto" w:fill="auto"/>
            <w:noWrap/>
            <w:vAlign w:val="bottom"/>
            <w:hideMark/>
          </w:tcPr>
          <w:p w:rsidR="00C97782" w:rsidRDefault="00C97782" w:rsidP="00C97782">
            <w:pPr>
              <w:jc w:val="center"/>
              <w:rPr>
                <w:rFonts w:ascii="Calibri" w:hAnsi="Calibri"/>
                <w:color w:val="000000"/>
              </w:rPr>
            </w:pPr>
            <w:r>
              <w:rPr>
                <w:rFonts w:ascii="Calibri" w:hAnsi="Calibri"/>
                <w:color w:val="000000"/>
              </w:rPr>
              <w:t>0.3%</w:t>
            </w:r>
          </w:p>
        </w:tc>
        <w:tc>
          <w:tcPr>
            <w:tcW w:w="1275" w:type="dxa"/>
            <w:tcBorders>
              <w:top w:val="single" w:sz="4" w:space="0" w:color="auto"/>
              <w:left w:val="nil"/>
              <w:bottom w:val="single" w:sz="4" w:space="0" w:color="auto"/>
              <w:right w:val="nil"/>
            </w:tcBorders>
            <w:shd w:val="clear" w:color="auto" w:fill="auto"/>
            <w:vAlign w:val="bottom"/>
          </w:tcPr>
          <w:p w:rsidR="00C97782" w:rsidRDefault="00C97782" w:rsidP="00C97782">
            <w:pPr>
              <w:jc w:val="center"/>
              <w:rPr>
                <w:rFonts w:ascii="Calibri" w:hAnsi="Calibri"/>
              </w:rPr>
            </w:pPr>
            <w:r>
              <w:rPr>
                <w:rFonts w:ascii="Calibri" w:hAnsi="Calibri"/>
              </w:rPr>
              <w:t>1%</w:t>
            </w:r>
          </w:p>
        </w:tc>
        <w:tc>
          <w:tcPr>
            <w:tcW w:w="2268" w:type="dxa"/>
            <w:tcBorders>
              <w:top w:val="nil"/>
              <w:left w:val="single" w:sz="8" w:space="0" w:color="000000"/>
              <w:bottom w:val="single" w:sz="8" w:space="0" w:color="000000"/>
              <w:right w:val="single" w:sz="8" w:space="0" w:color="000000"/>
            </w:tcBorders>
            <w:shd w:val="clear" w:color="auto" w:fill="auto"/>
            <w:vAlign w:val="center"/>
          </w:tcPr>
          <w:p w:rsidR="00C97782" w:rsidRDefault="00C97782" w:rsidP="00C97782">
            <w:pPr>
              <w:jc w:val="center"/>
              <w:rPr>
                <w:rFonts w:ascii="Calibri" w:hAnsi="Calibri"/>
                <w:color w:val="000000"/>
              </w:rPr>
            </w:pPr>
            <w:r>
              <w:rPr>
                <w:rFonts w:ascii="Calibri" w:hAnsi="Calibri"/>
                <w:color w:val="000000"/>
              </w:rPr>
              <w:t>1.5%</w:t>
            </w:r>
          </w:p>
        </w:tc>
        <w:tc>
          <w:tcPr>
            <w:tcW w:w="1701" w:type="dxa"/>
            <w:tcBorders>
              <w:top w:val="nil"/>
              <w:left w:val="nil"/>
              <w:bottom w:val="single" w:sz="4" w:space="0" w:color="auto"/>
              <w:right w:val="single" w:sz="4" w:space="0" w:color="auto"/>
            </w:tcBorders>
          </w:tcPr>
          <w:p w:rsidR="00C97782" w:rsidRPr="00F92CCB" w:rsidRDefault="00C97782" w:rsidP="00C97782">
            <w:r w:rsidRPr="00F92CCB">
              <w:t>2%</w:t>
            </w:r>
          </w:p>
        </w:tc>
      </w:tr>
    </w:tbl>
    <w:p w:rsidR="00230857" w:rsidRPr="0045204F" w:rsidRDefault="00230857" w:rsidP="00230857">
      <w:pPr>
        <w:jc w:val="center"/>
        <w:rPr>
          <w:rFonts w:eastAsiaTheme="minorEastAsia" w:cstheme="minorHAnsi"/>
          <w:b/>
          <w:lang w:eastAsia="en-GB"/>
        </w:rPr>
      </w:pPr>
    </w:p>
    <w:p w:rsidR="00230857" w:rsidRDefault="00230857" w:rsidP="00CF3C84">
      <w:pPr>
        <w:rPr>
          <w:rFonts w:eastAsiaTheme="minorEastAsia" w:cstheme="minorHAnsi"/>
          <w:lang w:eastAsia="en-GB"/>
        </w:rPr>
      </w:pPr>
      <w:r>
        <w:rPr>
          <w:rFonts w:eastAsiaTheme="minorEastAsia" w:cstheme="minorHAnsi"/>
          <w:lang w:eastAsia="en-GB"/>
        </w:rPr>
        <w:t xml:space="preserve">The </w:t>
      </w:r>
      <w:r w:rsidR="00C97782">
        <w:rPr>
          <w:rFonts w:eastAsiaTheme="minorEastAsia" w:cstheme="minorHAnsi"/>
          <w:lang w:eastAsia="en-GB"/>
        </w:rPr>
        <w:t xml:space="preserve">job </w:t>
      </w:r>
      <w:r>
        <w:rPr>
          <w:rFonts w:eastAsiaTheme="minorEastAsia" w:cstheme="minorHAnsi"/>
          <w:lang w:eastAsia="en-GB"/>
        </w:rPr>
        <w:t>c</w:t>
      </w:r>
      <w:r w:rsidRPr="0045204F">
        <w:rPr>
          <w:rFonts w:eastAsiaTheme="minorEastAsia" w:cstheme="minorHAnsi"/>
          <w:lang w:eastAsia="en-GB"/>
        </w:rPr>
        <w:t>andidate age profiling broadly reflects the College’s staff profile</w:t>
      </w:r>
      <w:r w:rsidR="00C97782">
        <w:rPr>
          <w:rFonts w:eastAsiaTheme="minorEastAsia" w:cstheme="minorHAnsi"/>
          <w:lang w:eastAsia="en-GB"/>
        </w:rPr>
        <w:t xml:space="preserve">, </w:t>
      </w:r>
      <w:r>
        <w:rPr>
          <w:rFonts w:eastAsiaTheme="minorEastAsia" w:cstheme="minorHAnsi"/>
          <w:lang w:eastAsia="en-GB"/>
        </w:rPr>
        <w:t>the notable exception can be found within the ‘job offers 1</w:t>
      </w:r>
      <w:r w:rsidR="00C97782">
        <w:rPr>
          <w:rFonts w:eastAsiaTheme="minorEastAsia" w:cstheme="minorHAnsi"/>
          <w:lang w:eastAsia="en-GB"/>
        </w:rPr>
        <w:t>7</w:t>
      </w:r>
      <w:r>
        <w:rPr>
          <w:rFonts w:eastAsiaTheme="minorEastAsia" w:cstheme="minorHAnsi"/>
          <w:lang w:eastAsia="en-GB"/>
        </w:rPr>
        <w:t>-1</w:t>
      </w:r>
      <w:r w:rsidR="00C97782">
        <w:rPr>
          <w:rFonts w:eastAsiaTheme="minorEastAsia" w:cstheme="minorHAnsi"/>
          <w:lang w:eastAsia="en-GB"/>
        </w:rPr>
        <w:t>8</w:t>
      </w:r>
      <w:r>
        <w:rPr>
          <w:rFonts w:eastAsiaTheme="minorEastAsia" w:cstheme="minorHAnsi"/>
          <w:lang w:eastAsia="en-GB"/>
        </w:rPr>
        <w:t>’ column which shows significantly higher percentages of jo</w:t>
      </w:r>
      <w:r w:rsidR="000C0C7F">
        <w:rPr>
          <w:rFonts w:eastAsiaTheme="minorEastAsia" w:cstheme="minorHAnsi"/>
          <w:lang w:eastAsia="en-GB"/>
        </w:rPr>
        <w:t>b offers between the ages 16 – 2</w:t>
      </w:r>
      <w:r>
        <w:rPr>
          <w:rFonts w:eastAsiaTheme="minorEastAsia" w:cstheme="minorHAnsi"/>
          <w:lang w:eastAsia="en-GB"/>
        </w:rPr>
        <w:t>4 when compared to the current staff profile.</w:t>
      </w:r>
      <w:r w:rsidR="000C0C7F">
        <w:rPr>
          <w:rFonts w:eastAsiaTheme="minorEastAsia" w:cstheme="minorHAnsi"/>
          <w:lang w:eastAsia="en-GB"/>
        </w:rPr>
        <w:t xml:space="preserve"> Otherwise, the job applications, staff and job offers profiles are similar.</w:t>
      </w:r>
    </w:p>
    <w:p w:rsidR="000C0C7F" w:rsidRDefault="000C0C7F" w:rsidP="00230857">
      <w:pPr>
        <w:shd w:val="clear" w:color="auto" w:fill="FFFFFF" w:themeFill="background1"/>
        <w:rPr>
          <w:rFonts w:eastAsiaTheme="minorEastAsia" w:cstheme="minorHAnsi"/>
          <w:lang w:eastAsia="en-GB"/>
        </w:rPr>
      </w:pPr>
    </w:p>
    <w:p w:rsidR="005758EB" w:rsidRDefault="005758EB" w:rsidP="00230857">
      <w:pPr>
        <w:shd w:val="clear" w:color="auto" w:fill="FFFFFF" w:themeFill="background1"/>
        <w:rPr>
          <w:rFonts w:eastAsiaTheme="minorEastAsia" w:cstheme="minorHAnsi"/>
          <w:lang w:eastAsia="en-GB"/>
        </w:rPr>
      </w:pPr>
    </w:p>
    <w:p w:rsidR="005758EB" w:rsidRDefault="005758EB" w:rsidP="00230857">
      <w:pPr>
        <w:shd w:val="clear" w:color="auto" w:fill="FFFFFF" w:themeFill="background1"/>
        <w:rPr>
          <w:rFonts w:eastAsiaTheme="minorEastAsia" w:cstheme="minorHAnsi"/>
          <w:lang w:eastAsia="en-GB"/>
        </w:rPr>
      </w:pPr>
    </w:p>
    <w:p w:rsidR="005758EB" w:rsidRDefault="005758EB" w:rsidP="00230857">
      <w:pPr>
        <w:shd w:val="clear" w:color="auto" w:fill="FFFFFF" w:themeFill="background1"/>
        <w:rPr>
          <w:rFonts w:eastAsiaTheme="minorEastAsia" w:cstheme="minorHAnsi"/>
          <w:lang w:eastAsia="en-GB"/>
        </w:rPr>
      </w:pPr>
    </w:p>
    <w:p w:rsidR="0095358D" w:rsidRDefault="0095358D" w:rsidP="00230857">
      <w:pPr>
        <w:shd w:val="clear" w:color="auto" w:fill="FFFFFF" w:themeFill="background1"/>
        <w:rPr>
          <w:rFonts w:eastAsiaTheme="minorEastAsia" w:cstheme="minorHAnsi"/>
          <w:lang w:eastAsia="en-GB"/>
        </w:rPr>
      </w:pPr>
    </w:p>
    <w:p w:rsidR="00230857" w:rsidRPr="0095358D" w:rsidRDefault="0095358D" w:rsidP="00230857">
      <w:pPr>
        <w:rPr>
          <w:rFonts w:eastAsiaTheme="minorEastAsia" w:cstheme="minorHAnsi"/>
          <w:b/>
          <w:u w:val="single"/>
          <w:lang w:eastAsia="en-GB"/>
        </w:rPr>
      </w:pPr>
      <w:r w:rsidRPr="0095358D">
        <w:rPr>
          <w:rFonts w:eastAsiaTheme="minorEastAsia" w:cstheme="minorHAnsi"/>
          <w:b/>
          <w:u w:val="single"/>
          <w:lang w:eastAsia="en-GB"/>
        </w:rPr>
        <w:lastRenderedPageBreak/>
        <w:t>Job Applicants</w:t>
      </w:r>
      <w:r w:rsidR="00230857" w:rsidRPr="0095358D">
        <w:rPr>
          <w:rFonts w:eastAsiaTheme="minorEastAsia" w:cstheme="minorHAnsi"/>
          <w:b/>
          <w:u w:val="single"/>
          <w:lang w:eastAsia="en-GB"/>
        </w:rPr>
        <w:t xml:space="preserve"> Gender Profiling</w:t>
      </w:r>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156"/>
        <w:gridCol w:w="1118"/>
        <w:gridCol w:w="1329"/>
        <w:gridCol w:w="1376"/>
        <w:gridCol w:w="1377"/>
      </w:tblGrid>
      <w:tr w:rsidR="000C0C7F" w:rsidRPr="001029BF" w:rsidTr="000C0C7F">
        <w:trPr>
          <w:trHeight w:val="615"/>
        </w:trPr>
        <w:tc>
          <w:tcPr>
            <w:tcW w:w="2665" w:type="dxa"/>
            <w:shd w:val="clear" w:color="auto" w:fill="95B3D7" w:themeFill="accent1" w:themeFillTint="99"/>
            <w:vAlign w:val="bottom"/>
            <w:hideMark/>
          </w:tcPr>
          <w:p w:rsidR="000C0C7F" w:rsidRPr="001029BF" w:rsidRDefault="00B1086A" w:rsidP="00416625">
            <w:pPr>
              <w:jc w:val="center"/>
              <w:rPr>
                <w:rFonts w:ascii="Calibri" w:hAnsi="Calibri"/>
                <w:b/>
                <w:bCs/>
                <w:color w:val="FFFFFF" w:themeColor="background1"/>
                <w:lang w:eastAsia="en-GB"/>
              </w:rPr>
            </w:pPr>
            <w:r>
              <w:rPr>
                <w:rFonts w:ascii="Calibri" w:hAnsi="Calibri"/>
                <w:b/>
                <w:bCs/>
                <w:color w:val="FFFFFF" w:themeColor="background1"/>
              </w:rPr>
              <w:t xml:space="preserve">Job Applicants </w:t>
            </w:r>
            <w:r w:rsidR="000C0C7F" w:rsidRPr="001029BF">
              <w:rPr>
                <w:rFonts w:ascii="Calibri" w:hAnsi="Calibri"/>
                <w:b/>
                <w:bCs/>
                <w:color w:val="FFFFFF" w:themeColor="background1"/>
              </w:rPr>
              <w:t>Gender</w:t>
            </w:r>
          </w:p>
        </w:tc>
        <w:tc>
          <w:tcPr>
            <w:tcW w:w="1156" w:type="dxa"/>
            <w:shd w:val="clear" w:color="auto" w:fill="95B3D7" w:themeFill="accent1" w:themeFillTint="99"/>
            <w:vAlign w:val="bottom"/>
            <w:hideMark/>
          </w:tcPr>
          <w:p w:rsidR="000C0C7F" w:rsidRPr="001029BF" w:rsidRDefault="000C0C7F" w:rsidP="00416625">
            <w:pPr>
              <w:jc w:val="center"/>
              <w:rPr>
                <w:rFonts w:ascii="Calibri" w:hAnsi="Calibri"/>
                <w:b/>
                <w:bCs/>
                <w:color w:val="FFFFFF" w:themeColor="background1"/>
              </w:rPr>
            </w:pPr>
            <w:r w:rsidRPr="001029BF">
              <w:rPr>
                <w:rFonts w:ascii="Calibri" w:hAnsi="Calibri"/>
                <w:b/>
                <w:bCs/>
                <w:color w:val="FFFFFF" w:themeColor="background1"/>
              </w:rPr>
              <w:t>2015-16</w:t>
            </w:r>
          </w:p>
        </w:tc>
        <w:tc>
          <w:tcPr>
            <w:tcW w:w="1118" w:type="dxa"/>
            <w:shd w:val="clear" w:color="auto" w:fill="95B3D7" w:themeFill="accent1" w:themeFillTint="99"/>
            <w:vAlign w:val="bottom"/>
            <w:hideMark/>
          </w:tcPr>
          <w:p w:rsidR="000C0C7F" w:rsidRPr="001029BF" w:rsidRDefault="000C0C7F" w:rsidP="00416625">
            <w:pPr>
              <w:jc w:val="center"/>
              <w:rPr>
                <w:rFonts w:ascii="Calibri" w:hAnsi="Calibri"/>
                <w:b/>
                <w:bCs/>
                <w:color w:val="FFFFFF" w:themeColor="background1"/>
              </w:rPr>
            </w:pPr>
            <w:r w:rsidRPr="001029BF">
              <w:rPr>
                <w:rFonts w:ascii="Calibri" w:hAnsi="Calibri"/>
                <w:b/>
                <w:bCs/>
                <w:color w:val="FFFFFF" w:themeColor="background1"/>
              </w:rPr>
              <w:t>2016-17</w:t>
            </w:r>
          </w:p>
        </w:tc>
        <w:tc>
          <w:tcPr>
            <w:tcW w:w="1329" w:type="dxa"/>
            <w:shd w:val="clear" w:color="auto" w:fill="95B3D7" w:themeFill="accent1" w:themeFillTint="99"/>
          </w:tcPr>
          <w:p w:rsidR="000C0C7F" w:rsidRDefault="000C0C7F" w:rsidP="00416625">
            <w:pPr>
              <w:jc w:val="center"/>
              <w:rPr>
                <w:rFonts w:ascii="Calibri" w:hAnsi="Calibri"/>
                <w:b/>
                <w:bCs/>
                <w:color w:val="FFFFFF" w:themeColor="background1"/>
              </w:rPr>
            </w:pPr>
          </w:p>
          <w:p w:rsidR="000C0C7F" w:rsidRDefault="000C0C7F" w:rsidP="00416625">
            <w:pPr>
              <w:jc w:val="center"/>
              <w:rPr>
                <w:rFonts w:ascii="Calibri" w:hAnsi="Calibri"/>
                <w:b/>
                <w:bCs/>
                <w:color w:val="FFFFFF" w:themeColor="background1"/>
              </w:rPr>
            </w:pPr>
            <w:r>
              <w:rPr>
                <w:rFonts w:ascii="Calibri" w:hAnsi="Calibri"/>
                <w:b/>
                <w:bCs/>
                <w:color w:val="FFFFFF" w:themeColor="background1"/>
              </w:rPr>
              <w:t>2017-18</w:t>
            </w:r>
          </w:p>
        </w:tc>
        <w:tc>
          <w:tcPr>
            <w:tcW w:w="1376" w:type="dxa"/>
            <w:shd w:val="clear" w:color="auto" w:fill="95B3D7" w:themeFill="accent1" w:themeFillTint="99"/>
            <w:vAlign w:val="bottom"/>
          </w:tcPr>
          <w:p w:rsidR="000C0C7F" w:rsidRPr="002010D2" w:rsidRDefault="000C0C7F" w:rsidP="000C0C7F">
            <w:pPr>
              <w:jc w:val="center"/>
              <w:rPr>
                <w:rFonts w:ascii="Calibri" w:hAnsi="Calibri"/>
                <w:b/>
                <w:bCs/>
                <w:color w:val="FFFFFF" w:themeColor="background1"/>
              </w:rPr>
            </w:pPr>
            <w:r>
              <w:rPr>
                <w:rFonts w:ascii="Calibri" w:hAnsi="Calibri"/>
                <w:b/>
                <w:bCs/>
                <w:color w:val="FFFFFF" w:themeColor="background1"/>
              </w:rPr>
              <w:t>CC</w:t>
            </w:r>
            <w:r w:rsidR="00B80DE7">
              <w:rPr>
                <w:rFonts w:ascii="Calibri" w:hAnsi="Calibri"/>
                <w:b/>
                <w:bCs/>
                <w:color w:val="FFFFFF" w:themeColor="background1"/>
              </w:rPr>
              <w:t>G</w:t>
            </w:r>
            <w:r>
              <w:rPr>
                <w:rFonts w:ascii="Calibri" w:hAnsi="Calibri"/>
                <w:b/>
                <w:bCs/>
                <w:color w:val="FFFFFF" w:themeColor="background1"/>
              </w:rPr>
              <w:t xml:space="preserve"> Staff </w:t>
            </w:r>
            <w:r w:rsidRPr="002010D2">
              <w:rPr>
                <w:rFonts w:ascii="Calibri" w:hAnsi="Calibri"/>
                <w:b/>
                <w:bCs/>
                <w:color w:val="FFFFFF" w:themeColor="background1"/>
              </w:rPr>
              <w:t>201</w:t>
            </w:r>
            <w:r>
              <w:rPr>
                <w:rFonts w:ascii="Calibri" w:hAnsi="Calibri"/>
                <w:b/>
                <w:bCs/>
                <w:color w:val="FFFFFF" w:themeColor="background1"/>
              </w:rPr>
              <w:t>7</w:t>
            </w:r>
            <w:r w:rsidRPr="002010D2">
              <w:rPr>
                <w:rFonts w:ascii="Calibri" w:hAnsi="Calibri"/>
                <w:b/>
                <w:bCs/>
                <w:color w:val="FFFFFF" w:themeColor="background1"/>
              </w:rPr>
              <w:t>-1</w:t>
            </w:r>
            <w:r>
              <w:rPr>
                <w:rFonts w:ascii="Calibri" w:hAnsi="Calibri"/>
                <w:b/>
                <w:bCs/>
                <w:color w:val="FFFFFF" w:themeColor="background1"/>
              </w:rPr>
              <w:t>8</w:t>
            </w:r>
          </w:p>
        </w:tc>
        <w:tc>
          <w:tcPr>
            <w:tcW w:w="1377" w:type="dxa"/>
            <w:shd w:val="clear" w:color="auto" w:fill="95B3D7" w:themeFill="accent1" w:themeFillTint="99"/>
            <w:vAlign w:val="bottom"/>
          </w:tcPr>
          <w:p w:rsidR="000C0C7F" w:rsidRPr="001029BF" w:rsidRDefault="000C0C7F" w:rsidP="000C0C7F">
            <w:pPr>
              <w:jc w:val="center"/>
              <w:rPr>
                <w:rFonts w:ascii="Calibri" w:hAnsi="Calibri"/>
                <w:b/>
                <w:bCs/>
                <w:color w:val="FFFFFF" w:themeColor="background1"/>
              </w:rPr>
            </w:pPr>
            <w:r w:rsidRPr="001029BF">
              <w:rPr>
                <w:rFonts w:ascii="Calibri" w:hAnsi="Calibri"/>
                <w:b/>
                <w:bCs/>
                <w:color w:val="FFFFFF" w:themeColor="background1"/>
              </w:rPr>
              <w:t>Job Offers 1</w:t>
            </w:r>
            <w:r>
              <w:rPr>
                <w:rFonts w:ascii="Calibri" w:hAnsi="Calibri"/>
                <w:b/>
                <w:bCs/>
                <w:color w:val="FFFFFF" w:themeColor="background1"/>
              </w:rPr>
              <w:t>7</w:t>
            </w:r>
            <w:r w:rsidRPr="001029BF">
              <w:rPr>
                <w:rFonts w:ascii="Calibri" w:hAnsi="Calibri"/>
                <w:b/>
                <w:bCs/>
                <w:color w:val="FFFFFF" w:themeColor="background1"/>
              </w:rPr>
              <w:t>-1</w:t>
            </w:r>
            <w:r>
              <w:rPr>
                <w:rFonts w:ascii="Calibri" w:hAnsi="Calibri"/>
                <w:b/>
                <w:bCs/>
                <w:color w:val="FFFFFF" w:themeColor="background1"/>
              </w:rPr>
              <w:t>8</w:t>
            </w:r>
          </w:p>
        </w:tc>
      </w:tr>
      <w:tr w:rsidR="00B1086A" w:rsidTr="00CF3C84">
        <w:trPr>
          <w:trHeight w:val="300"/>
        </w:trPr>
        <w:tc>
          <w:tcPr>
            <w:tcW w:w="2665" w:type="dxa"/>
            <w:shd w:val="clear" w:color="auto" w:fill="auto"/>
            <w:noWrap/>
            <w:vAlign w:val="bottom"/>
            <w:hideMark/>
          </w:tcPr>
          <w:p w:rsidR="00B1086A" w:rsidRDefault="00B1086A" w:rsidP="00B1086A">
            <w:pPr>
              <w:jc w:val="center"/>
              <w:rPr>
                <w:rFonts w:ascii="Calibri" w:hAnsi="Calibri"/>
                <w:color w:val="000000"/>
              </w:rPr>
            </w:pPr>
            <w:r>
              <w:rPr>
                <w:rFonts w:ascii="Calibri" w:hAnsi="Calibri"/>
                <w:color w:val="000000"/>
              </w:rPr>
              <w:t>Female</w:t>
            </w:r>
          </w:p>
        </w:tc>
        <w:tc>
          <w:tcPr>
            <w:tcW w:w="1156" w:type="dxa"/>
            <w:shd w:val="clear" w:color="auto" w:fill="auto"/>
            <w:noWrap/>
            <w:vAlign w:val="bottom"/>
            <w:hideMark/>
          </w:tcPr>
          <w:p w:rsidR="00B1086A" w:rsidRDefault="00B1086A" w:rsidP="00B1086A">
            <w:pPr>
              <w:jc w:val="center"/>
              <w:rPr>
                <w:rFonts w:ascii="Calibri" w:hAnsi="Calibri"/>
                <w:color w:val="000000"/>
              </w:rPr>
            </w:pPr>
            <w:r>
              <w:rPr>
                <w:rFonts w:ascii="Calibri" w:hAnsi="Calibri"/>
                <w:color w:val="000000"/>
              </w:rPr>
              <w:t>55.3%</w:t>
            </w:r>
          </w:p>
        </w:tc>
        <w:tc>
          <w:tcPr>
            <w:tcW w:w="1118" w:type="dxa"/>
            <w:shd w:val="clear" w:color="auto" w:fill="auto"/>
            <w:noWrap/>
            <w:vAlign w:val="bottom"/>
            <w:hideMark/>
          </w:tcPr>
          <w:p w:rsidR="00B1086A" w:rsidRDefault="00B1086A" w:rsidP="00B1086A">
            <w:pPr>
              <w:jc w:val="center"/>
              <w:rPr>
                <w:rFonts w:ascii="Calibri" w:hAnsi="Calibri"/>
                <w:color w:val="000000"/>
              </w:rPr>
            </w:pPr>
            <w:r>
              <w:rPr>
                <w:rFonts w:ascii="Calibri" w:hAnsi="Calibri"/>
                <w:color w:val="000000"/>
              </w:rPr>
              <w:t>59.0%</w:t>
            </w:r>
          </w:p>
        </w:tc>
        <w:tc>
          <w:tcPr>
            <w:tcW w:w="1329" w:type="dxa"/>
            <w:vAlign w:val="bottom"/>
          </w:tcPr>
          <w:p w:rsidR="00B1086A" w:rsidRDefault="00B1086A" w:rsidP="00B1086A">
            <w:pPr>
              <w:jc w:val="center"/>
              <w:rPr>
                <w:rFonts w:ascii="Calibri" w:hAnsi="Calibri"/>
                <w:color w:val="000000"/>
              </w:rPr>
            </w:pPr>
            <w:r>
              <w:rPr>
                <w:rFonts w:ascii="Calibri" w:hAnsi="Calibri"/>
                <w:color w:val="000000"/>
              </w:rPr>
              <w:t>61%</w:t>
            </w:r>
          </w:p>
        </w:tc>
        <w:tc>
          <w:tcPr>
            <w:tcW w:w="1376" w:type="dxa"/>
            <w:vAlign w:val="bottom"/>
          </w:tcPr>
          <w:p w:rsidR="00B1086A" w:rsidRDefault="00B1086A" w:rsidP="00B1086A">
            <w:pPr>
              <w:jc w:val="center"/>
              <w:rPr>
                <w:rFonts w:ascii="Calibri" w:hAnsi="Calibri"/>
                <w:color w:val="000000"/>
              </w:rPr>
            </w:pPr>
            <w:r>
              <w:rPr>
                <w:rFonts w:ascii="Calibri" w:hAnsi="Calibri"/>
                <w:color w:val="000000"/>
              </w:rPr>
              <w:t>58.0%</w:t>
            </w:r>
          </w:p>
        </w:tc>
        <w:tc>
          <w:tcPr>
            <w:tcW w:w="1377" w:type="dxa"/>
          </w:tcPr>
          <w:p w:rsidR="00B1086A" w:rsidRPr="00FD297C" w:rsidRDefault="00B1086A" w:rsidP="00B1086A">
            <w:pPr>
              <w:jc w:val="center"/>
            </w:pPr>
            <w:r>
              <w:t>56</w:t>
            </w:r>
            <w:r w:rsidRPr="00FD297C">
              <w:t>%</w:t>
            </w:r>
          </w:p>
        </w:tc>
      </w:tr>
      <w:tr w:rsidR="00B1086A" w:rsidTr="00CF3C84">
        <w:trPr>
          <w:trHeight w:val="300"/>
        </w:trPr>
        <w:tc>
          <w:tcPr>
            <w:tcW w:w="2665" w:type="dxa"/>
            <w:shd w:val="clear" w:color="auto" w:fill="auto"/>
            <w:noWrap/>
            <w:vAlign w:val="bottom"/>
            <w:hideMark/>
          </w:tcPr>
          <w:p w:rsidR="00B1086A" w:rsidRDefault="00B1086A" w:rsidP="00B1086A">
            <w:pPr>
              <w:jc w:val="center"/>
              <w:rPr>
                <w:rFonts w:ascii="Calibri" w:hAnsi="Calibri"/>
                <w:color w:val="000000"/>
              </w:rPr>
            </w:pPr>
            <w:r>
              <w:rPr>
                <w:rFonts w:ascii="Calibri" w:hAnsi="Calibri"/>
                <w:color w:val="000000"/>
              </w:rPr>
              <w:t>Male</w:t>
            </w:r>
          </w:p>
        </w:tc>
        <w:tc>
          <w:tcPr>
            <w:tcW w:w="1156" w:type="dxa"/>
            <w:shd w:val="clear" w:color="auto" w:fill="auto"/>
            <w:noWrap/>
            <w:vAlign w:val="bottom"/>
            <w:hideMark/>
          </w:tcPr>
          <w:p w:rsidR="00B1086A" w:rsidRDefault="00B1086A" w:rsidP="00B1086A">
            <w:pPr>
              <w:jc w:val="center"/>
              <w:rPr>
                <w:rFonts w:ascii="Calibri" w:hAnsi="Calibri"/>
                <w:color w:val="000000"/>
              </w:rPr>
            </w:pPr>
            <w:r>
              <w:rPr>
                <w:rFonts w:ascii="Calibri" w:hAnsi="Calibri"/>
                <w:color w:val="000000"/>
              </w:rPr>
              <w:t>44.7%</w:t>
            </w:r>
          </w:p>
        </w:tc>
        <w:tc>
          <w:tcPr>
            <w:tcW w:w="1118" w:type="dxa"/>
            <w:shd w:val="clear" w:color="auto" w:fill="auto"/>
            <w:noWrap/>
            <w:vAlign w:val="bottom"/>
            <w:hideMark/>
          </w:tcPr>
          <w:p w:rsidR="00B1086A" w:rsidRDefault="00B1086A" w:rsidP="00B1086A">
            <w:pPr>
              <w:jc w:val="center"/>
              <w:rPr>
                <w:rFonts w:ascii="Calibri" w:hAnsi="Calibri"/>
                <w:color w:val="000000"/>
              </w:rPr>
            </w:pPr>
            <w:r>
              <w:rPr>
                <w:rFonts w:ascii="Calibri" w:hAnsi="Calibri"/>
                <w:color w:val="000000"/>
              </w:rPr>
              <w:t>41.0%</w:t>
            </w:r>
          </w:p>
        </w:tc>
        <w:tc>
          <w:tcPr>
            <w:tcW w:w="1329" w:type="dxa"/>
            <w:vAlign w:val="bottom"/>
          </w:tcPr>
          <w:p w:rsidR="00B1086A" w:rsidRDefault="00B1086A" w:rsidP="00B1086A">
            <w:pPr>
              <w:jc w:val="center"/>
              <w:rPr>
                <w:rFonts w:ascii="Calibri" w:hAnsi="Calibri"/>
                <w:color w:val="000000"/>
              </w:rPr>
            </w:pPr>
            <w:r>
              <w:rPr>
                <w:rFonts w:ascii="Calibri" w:hAnsi="Calibri"/>
                <w:color w:val="000000"/>
              </w:rPr>
              <w:t>38%</w:t>
            </w:r>
          </w:p>
        </w:tc>
        <w:tc>
          <w:tcPr>
            <w:tcW w:w="1376" w:type="dxa"/>
            <w:vAlign w:val="bottom"/>
          </w:tcPr>
          <w:p w:rsidR="00B1086A" w:rsidRDefault="00B1086A" w:rsidP="00B1086A">
            <w:pPr>
              <w:jc w:val="center"/>
              <w:rPr>
                <w:rFonts w:ascii="Calibri" w:hAnsi="Calibri"/>
                <w:color w:val="000000"/>
              </w:rPr>
            </w:pPr>
            <w:r>
              <w:rPr>
                <w:rFonts w:ascii="Calibri" w:hAnsi="Calibri"/>
                <w:color w:val="000000"/>
              </w:rPr>
              <w:t>42.0%</w:t>
            </w:r>
          </w:p>
        </w:tc>
        <w:tc>
          <w:tcPr>
            <w:tcW w:w="1377" w:type="dxa"/>
          </w:tcPr>
          <w:p w:rsidR="00B1086A" w:rsidRPr="00FD297C" w:rsidRDefault="00B1086A" w:rsidP="00B1086A">
            <w:pPr>
              <w:jc w:val="center"/>
            </w:pPr>
            <w:r>
              <w:t>43</w:t>
            </w:r>
            <w:r w:rsidRPr="00FD297C">
              <w:t>%</w:t>
            </w:r>
          </w:p>
        </w:tc>
      </w:tr>
      <w:tr w:rsidR="00B1086A" w:rsidTr="00CF3C84">
        <w:trPr>
          <w:trHeight w:val="300"/>
        </w:trPr>
        <w:tc>
          <w:tcPr>
            <w:tcW w:w="2665" w:type="dxa"/>
            <w:shd w:val="clear" w:color="auto" w:fill="auto"/>
            <w:noWrap/>
            <w:vAlign w:val="bottom"/>
            <w:hideMark/>
          </w:tcPr>
          <w:p w:rsidR="00B1086A" w:rsidRDefault="00B1086A" w:rsidP="00B1086A">
            <w:pPr>
              <w:jc w:val="center"/>
              <w:rPr>
                <w:rFonts w:ascii="Calibri" w:hAnsi="Calibri"/>
                <w:color w:val="000000"/>
              </w:rPr>
            </w:pPr>
            <w:r>
              <w:rPr>
                <w:rFonts w:ascii="Calibri" w:hAnsi="Calibri"/>
                <w:color w:val="000000"/>
              </w:rPr>
              <w:t>Declined to Specify</w:t>
            </w:r>
          </w:p>
        </w:tc>
        <w:tc>
          <w:tcPr>
            <w:tcW w:w="1156" w:type="dxa"/>
            <w:shd w:val="clear" w:color="auto" w:fill="auto"/>
            <w:noWrap/>
            <w:vAlign w:val="bottom"/>
            <w:hideMark/>
          </w:tcPr>
          <w:p w:rsidR="00B1086A" w:rsidRDefault="00B1086A" w:rsidP="00B1086A">
            <w:pPr>
              <w:jc w:val="center"/>
              <w:rPr>
                <w:rFonts w:ascii="Calibri" w:hAnsi="Calibri"/>
                <w:color w:val="000000"/>
              </w:rPr>
            </w:pPr>
            <w:r>
              <w:rPr>
                <w:rFonts w:ascii="Calibri" w:hAnsi="Calibri"/>
                <w:color w:val="000000"/>
              </w:rPr>
              <w:t>0.0%</w:t>
            </w:r>
          </w:p>
        </w:tc>
        <w:tc>
          <w:tcPr>
            <w:tcW w:w="1118" w:type="dxa"/>
            <w:shd w:val="clear" w:color="auto" w:fill="auto"/>
            <w:noWrap/>
            <w:vAlign w:val="bottom"/>
            <w:hideMark/>
          </w:tcPr>
          <w:p w:rsidR="00B1086A" w:rsidRDefault="00B1086A" w:rsidP="00B1086A">
            <w:pPr>
              <w:jc w:val="center"/>
              <w:rPr>
                <w:rFonts w:ascii="Calibri" w:hAnsi="Calibri"/>
                <w:color w:val="000000"/>
              </w:rPr>
            </w:pPr>
            <w:r>
              <w:rPr>
                <w:rFonts w:ascii="Calibri" w:hAnsi="Calibri"/>
                <w:color w:val="000000"/>
              </w:rPr>
              <w:t>0.0%</w:t>
            </w:r>
          </w:p>
        </w:tc>
        <w:tc>
          <w:tcPr>
            <w:tcW w:w="1329" w:type="dxa"/>
            <w:vAlign w:val="bottom"/>
          </w:tcPr>
          <w:p w:rsidR="00B1086A" w:rsidRDefault="00B1086A" w:rsidP="00B1086A">
            <w:pPr>
              <w:jc w:val="center"/>
              <w:rPr>
                <w:rFonts w:ascii="Calibri" w:hAnsi="Calibri"/>
                <w:color w:val="000000"/>
              </w:rPr>
            </w:pPr>
            <w:r>
              <w:rPr>
                <w:rFonts w:ascii="Calibri" w:hAnsi="Calibri"/>
                <w:color w:val="000000"/>
              </w:rPr>
              <w:t>1.0%</w:t>
            </w:r>
          </w:p>
        </w:tc>
        <w:tc>
          <w:tcPr>
            <w:tcW w:w="1376" w:type="dxa"/>
          </w:tcPr>
          <w:p w:rsidR="00B1086A" w:rsidRDefault="00B1086A" w:rsidP="00B1086A">
            <w:pPr>
              <w:jc w:val="center"/>
              <w:rPr>
                <w:rFonts w:ascii="Calibri" w:hAnsi="Calibri"/>
                <w:color w:val="000000"/>
              </w:rPr>
            </w:pPr>
            <w:r>
              <w:rPr>
                <w:rFonts w:ascii="Calibri" w:hAnsi="Calibri"/>
                <w:color w:val="000000"/>
              </w:rPr>
              <w:t>0%</w:t>
            </w:r>
          </w:p>
        </w:tc>
        <w:tc>
          <w:tcPr>
            <w:tcW w:w="1377" w:type="dxa"/>
          </w:tcPr>
          <w:p w:rsidR="00B1086A" w:rsidRPr="00FD297C" w:rsidRDefault="00B1086A" w:rsidP="00B1086A">
            <w:pPr>
              <w:jc w:val="center"/>
            </w:pPr>
            <w:r w:rsidRPr="00FD297C">
              <w:t>1%</w:t>
            </w:r>
          </w:p>
        </w:tc>
      </w:tr>
      <w:tr w:rsidR="00B1086A" w:rsidTr="00CF3C84">
        <w:trPr>
          <w:trHeight w:val="300"/>
        </w:trPr>
        <w:tc>
          <w:tcPr>
            <w:tcW w:w="2665" w:type="dxa"/>
            <w:shd w:val="clear" w:color="auto" w:fill="auto"/>
            <w:noWrap/>
            <w:vAlign w:val="bottom"/>
            <w:hideMark/>
          </w:tcPr>
          <w:p w:rsidR="00B1086A" w:rsidRDefault="00B1086A" w:rsidP="00B1086A">
            <w:pPr>
              <w:jc w:val="center"/>
              <w:rPr>
                <w:rFonts w:ascii="Calibri" w:hAnsi="Calibri"/>
                <w:color w:val="000000"/>
              </w:rPr>
            </w:pPr>
            <w:r>
              <w:rPr>
                <w:rFonts w:ascii="Calibri" w:hAnsi="Calibri"/>
                <w:color w:val="000000"/>
              </w:rPr>
              <w:t>Unknown</w:t>
            </w:r>
          </w:p>
        </w:tc>
        <w:tc>
          <w:tcPr>
            <w:tcW w:w="1156" w:type="dxa"/>
            <w:shd w:val="clear" w:color="auto" w:fill="auto"/>
            <w:noWrap/>
            <w:vAlign w:val="bottom"/>
            <w:hideMark/>
          </w:tcPr>
          <w:p w:rsidR="00B1086A" w:rsidRDefault="00B1086A" w:rsidP="00B1086A">
            <w:pPr>
              <w:jc w:val="center"/>
              <w:rPr>
                <w:rFonts w:ascii="Calibri" w:hAnsi="Calibri"/>
                <w:color w:val="000000"/>
              </w:rPr>
            </w:pPr>
            <w:r>
              <w:rPr>
                <w:rFonts w:ascii="Calibri" w:hAnsi="Calibri"/>
                <w:color w:val="000000"/>
              </w:rPr>
              <w:t>0.0%</w:t>
            </w:r>
          </w:p>
        </w:tc>
        <w:tc>
          <w:tcPr>
            <w:tcW w:w="1118" w:type="dxa"/>
            <w:shd w:val="clear" w:color="auto" w:fill="auto"/>
            <w:noWrap/>
            <w:vAlign w:val="bottom"/>
            <w:hideMark/>
          </w:tcPr>
          <w:p w:rsidR="00B1086A" w:rsidRDefault="00B1086A" w:rsidP="00B1086A">
            <w:pPr>
              <w:jc w:val="center"/>
              <w:rPr>
                <w:rFonts w:ascii="Calibri" w:hAnsi="Calibri"/>
                <w:color w:val="000000"/>
              </w:rPr>
            </w:pPr>
            <w:r>
              <w:rPr>
                <w:rFonts w:ascii="Calibri" w:hAnsi="Calibri"/>
                <w:color w:val="000000"/>
              </w:rPr>
              <w:t>0.0%</w:t>
            </w:r>
          </w:p>
        </w:tc>
        <w:tc>
          <w:tcPr>
            <w:tcW w:w="1329" w:type="dxa"/>
            <w:vAlign w:val="bottom"/>
          </w:tcPr>
          <w:p w:rsidR="00B1086A" w:rsidRDefault="00B1086A" w:rsidP="00B1086A">
            <w:pPr>
              <w:jc w:val="center"/>
              <w:rPr>
                <w:rFonts w:ascii="Calibri" w:hAnsi="Calibri"/>
                <w:color w:val="000000"/>
              </w:rPr>
            </w:pPr>
            <w:r>
              <w:rPr>
                <w:rFonts w:ascii="Calibri" w:hAnsi="Calibri"/>
                <w:color w:val="000000"/>
              </w:rPr>
              <w:t>0%</w:t>
            </w:r>
          </w:p>
        </w:tc>
        <w:tc>
          <w:tcPr>
            <w:tcW w:w="1376" w:type="dxa"/>
          </w:tcPr>
          <w:p w:rsidR="00B1086A" w:rsidRDefault="00B1086A" w:rsidP="00B1086A">
            <w:pPr>
              <w:jc w:val="center"/>
              <w:rPr>
                <w:rFonts w:ascii="Calibri" w:hAnsi="Calibri"/>
                <w:color w:val="000000"/>
              </w:rPr>
            </w:pPr>
            <w:r>
              <w:rPr>
                <w:rFonts w:ascii="Calibri" w:hAnsi="Calibri"/>
                <w:color w:val="000000"/>
              </w:rPr>
              <w:t>0%</w:t>
            </w:r>
          </w:p>
        </w:tc>
        <w:tc>
          <w:tcPr>
            <w:tcW w:w="1377" w:type="dxa"/>
          </w:tcPr>
          <w:p w:rsidR="00B1086A" w:rsidRDefault="00B1086A" w:rsidP="00B1086A">
            <w:pPr>
              <w:jc w:val="center"/>
            </w:pPr>
            <w:r w:rsidRPr="00FD297C">
              <w:t>0%</w:t>
            </w:r>
          </w:p>
        </w:tc>
      </w:tr>
    </w:tbl>
    <w:p w:rsidR="00B1086A" w:rsidRDefault="00B1086A" w:rsidP="00230857">
      <w:pPr>
        <w:shd w:val="clear" w:color="auto" w:fill="FFFFFF" w:themeFill="background1"/>
        <w:rPr>
          <w:rFonts w:eastAsiaTheme="minorEastAsia" w:cstheme="minorHAnsi"/>
          <w:lang w:eastAsia="en-GB"/>
        </w:rPr>
      </w:pPr>
    </w:p>
    <w:p w:rsidR="00230857" w:rsidRDefault="00230857" w:rsidP="00CF3C84">
      <w:pPr>
        <w:rPr>
          <w:rFonts w:eastAsiaTheme="minorEastAsia" w:cstheme="minorHAnsi"/>
          <w:lang w:eastAsia="en-GB"/>
        </w:rPr>
      </w:pPr>
      <w:r w:rsidRPr="0045204F">
        <w:rPr>
          <w:rFonts w:eastAsiaTheme="minorEastAsia" w:cstheme="minorHAnsi"/>
          <w:lang w:eastAsia="en-GB"/>
        </w:rPr>
        <w:t xml:space="preserve">The percentage </w:t>
      </w:r>
      <w:r w:rsidR="00B1086A">
        <w:rPr>
          <w:rFonts w:eastAsiaTheme="minorEastAsia" w:cstheme="minorHAnsi"/>
          <w:lang w:eastAsia="en-GB"/>
        </w:rPr>
        <w:t xml:space="preserve">age </w:t>
      </w:r>
      <w:r w:rsidRPr="0045204F">
        <w:rPr>
          <w:rFonts w:eastAsiaTheme="minorEastAsia" w:cstheme="minorHAnsi"/>
          <w:lang w:eastAsia="en-GB"/>
        </w:rPr>
        <w:t xml:space="preserve">of job applicants </w:t>
      </w:r>
      <w:r>
        <w:rPr>
          <w:rFonts w:eastAsiaTheme="minorEastAsia" w:cstheme="minorHAnsi"/>
          <w:lang w:eastAsia="en-GB"/>
        </w:rPr>
        <w:t xml:space="preserve">is once again broadly similar to the College’s staff profile. Likewise, the </w:t>
      </w:r>
      <w:r w:rsidR="00B1086A">
        <w:rPr>
          <w:rFonts w:eastAsiaTheme="minorEastAsia" w:cstheme="minorHAnsi"/>
          <w:lang w:eastAsia="en-GB"/>
        </w:rPr>
        <w:t>‘job offers 17</w:t>
      </w:r>
      <w:r w:rsidRPr="001029BF">
        <w:rPr>
          <w:rFonts w:eastAsiaTheme="minorEastAsia" w:cstheme="minorHAnsi"/>
          <w:lang w:eastAsia="en-GB"/>
        </w:rPr>
        <w:t>-1</w:t>
      </w:r>
      <w:r w:rsidR="00B1086A">
        <w:rPr>
          <w:rFonts w:eastAsiaTheme="minorEastAsia" w:cstheme="minorHAnsi"/>
          <w:lang w:eastAsia="en-GB"/>
        </w:rPr>
        <w:t>8</w:t>
      </w:r>
      <w:r w:rsidRPr="001029BF">
        <w:rPr>
          <w:rFonts w:eastAsiaTheme="minorEastAsia" w:cstheme="minorHAnsi"/>
          <w:lang w:eastAsia="en-GB"/>
        </w:rPr>
        <w:t xml:space="preserve">’ </w:t>
      </w:r>
      <w:r w:rsidR="00B1086A">
        <w:rPr>
          <w:rFonts w:eastAsiaTheme="minorEastAsia" w:cstheme="minorHAnsi"/>
          <w:lang w:eastAsia="en-GB"/>
        </w:rPr>
        <w:t>age profiling remains broadly similar</w:t>
      </w:r>
      <w:r>
        <w:rPr>
          <w:rFonts w:eastAsiaTheme="minorEastAsia" w:cstheme="minorHAnsi"/>
          <w:lang w:eastAsia="en-GB"/>
        </w:rPr>
        <w:t xml:space="preserve"> when compared to both the </w:t>
      </w:r>
      <w:r w:rsidRPr="0045204F">
        <w:rPr>
          <w:rFonts w:eastAsiaTheme="minorEastAsia" w:cstheme="minorHAnsi"/>
          <w:lang w:eastAsia="en-GB"/>
        </w:rPr>
        <w:t>College</w:t>
      </w:r>
      <w:r>
        <w:rPr>
          <w:rFonts w:eastAsiaTheme="minorEastAsia" w:cstheme="minorHAnsi"/>
          <w:lang w:eastAsia="en-GB"/>
        </w:rPr>
        <w:t xml:space="preserve"> and national gender profile (</w:t>
      </w:r>
      <w:r w:rsidR="00B1086A" w:rsidRPr="00B1086A">
        <w:rPr>
          <w:rFonts w:eastAsiaTheme="minorEastAsia" w:cstheme="minorHAnsi"/>
          <w:lang w:eastAsia="en-GB"/>
        </w:rPr>
        <w:t>62% female, 38% male</w:t>
      </w:r>
      <w:r>
        <w:rPr>
          <w:rFonts w:eastAsiaTheme="minorEastAsia" w:cstheme="minorHAnsi"/>
          <w:lang w:eastAsia="en-GB"/>
        </w:rPr>
        <w:t>)</w:t>
      </w:r>
      <w:r w:rsidRPr="0045204F">
        <w:rPr>
          <w:rFonts w:eastAsiaTheme="minorEastAsia" w:cstheme="minorHAnsi"/>
          <w:lang w:eastAsia="en-GB"/>
        </w:rPr>
        <w:t xml:space="preserve">. </w:t>
      </w:r>
    </w:p>
    <w:p w:rsidR="00230857" w:rsidRPr="0045204F" w:rsidRDefault="0095358D" w:rsidP="00230857">
      <w:pPr>
        <w:rPr>
          <w:rFonts w:eastAsiaTheme="minorEastAsia" w:cstheme="minorHAnsi"/>
          <w:b/>
          <w:lang w:eastAsia="en-GB"/>
        </w:rPr>
      </w:pPr>
      <w:r>
        <w:rPr>
          <w:rFonts w:eastAsiaTheme="minorEastAsia" w:cstheme="minorHAnsi"/>
          <w:b/>
          <w:u w:val="single"/>
          <w:lang w:eastAsia="en-GB"/>
        </w:rPr>
        <w:t>Job Applicants</w:t>
      </w:r>
      <w:r w:rsidR="00230857" w:rsidRPr="0000232C">
        <w:rPr>
          <w:rFonts w:eastAsiaTheme="minorEastAsia" w:cstheme="minorHAnsi"/>
          <w:b/>
          <w:u w:val="single"/>
          <w:lang w:eastAsia="en-GB"/>
        </w:rPr>
        <w:t xml:space="preserve"> Disability Profil</w:t>
      </w:r>
      <w:r w:rsidR="00230857">
        <w:rPr>
          <w:rFonts w:eastAsiaTheme="minorEastAsia" w:cstheme="minorHAnsi"/>
          <w:b/>
          <w:u w:val="single"/>
          <w:lang w:eastAsia="en-GB"/>
        </w:rPr>
        <w:t>ing</w:t>
      </w:r>
    </w:p>
    <w:tbl>
      <w:tblPr>
        <w:tblW w:w="8898" w:type="dxa"/>
        <w:tblInd w:w="118" w:type="dxa"/>
        <w:tblLook w:val="04A0" w:firstRow="1" w:lastRow="0" w:firstColumn="1" w:lastColumn="0" w:noHBand="0" w:noVBand="1"/>
      </w:tblPr>
      <w:tblGrid>
        <w:gridCol w:w="1975"/>
        <w:gridCol w:w="1276"/>
        <w:gridCol w:w="1304"/>
        <w:gridCol w:w="1233"/>
        <w:gridCol w:w="1551"/>
        <w:gridCol w:w="1559"/>
      </w:tblGrid>
      <w:tr w:rsidR="0059538F" w:rsidRPr="0000232C" w:rsidTr="009D46F0">
        <w:trPr>
          <w:trHeight w:val="615"/>
        </w:trPr>
        <w:tc>
          <w:tcPr>
            <w:tcW w:w="197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hideMark/>
          </w:tcPr>
          <w:p w:rsidR="0059538F" w:rsidRPr="0000232C" w:rsidRDefault="00B80DE7" w:rsidP="00416625">
            <w:pPr>
              <w:jc w:val="center"/>
              <w:rPr>
                <w:rFonts w:ascii="Calibri" w:hAnsi="Calibri"/>
                <w:b/>
                <w:bCs/>
                <w:color w:val="FFFFFF" w:themeColor="background1"/>
                <w:lang w:eastAsia="en-GB"/>
              </w:rPr>
            </w:pPr>
            <w:r>
              <w:rPr>
                <w:rFonts w:ascii="Calibri" w:hAnsi="Calibri"/>
                <w:b/>
                <w:bCs/>
                <w:color w:val="FFFFFF" w:themeColor="background1"/>
              </w:rPr>
              <w:t xml:space="preserve">Job Applicants </w:t>
            </w:r>
            <w:r w:rsidR="0059538F" w:rsidRPr="0000232C">
              <w:rPr>
                <w:rFonts w:ascii="Calibri" w:hAnsi="Calibri"/>
                <w:b/>
                <w:bCs/>
                <w:color w:val="FFFFFF" w:themeColor="background1"/>
              </w:rPr>
              <w:t>Disability Status</w:t>
            </w:r>
          </w:p>
        </w:tc>
        <w:tc>
          <w:tcPr>
            <w:tcW w:w="127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hideMark/>
          </w:tcPr>
          <w:p w:rsidR="0059538F" w:rsidRPr="0000232C" w:rsidRDefault="0059538F" w:rsidP="00416625">
            <w:pPr>
              <w:jc w:val="center"/>
              <w:rPr>
                <w:rFonts w:ascii="Calibri" w:hAnsi="Calibri"/>
                <w:b/>
                <w:bCs/>
                <w:color w:val="FFFFFF" w:themeColor="background1"/>
              </w:rPr>
            </w:pPr>
            <w:r w:rsidRPr="0000232C">
              <w:rPr>
                <w:rFonts w:ascii="Calibri" w:hAnsi="Calibri"/>
                <w:b/>
                <w:bCs/>
                <w:color w:val="FFFFFF" w:themeColor="background1"/>
              </w:rPr>
              <w:t>2015-16</w:t>
            </w:r>
          </w:p>
        </w:tc>
        <w:tc>
          <w:tcPr>
            <w:tcW w:w="130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hideMark/>
          </w:tcPr>
          <w:p w:rsidR="0059538F" w:rsidRPr="0000232C" w:rsidRDefault="0059538F" w:rsidP="00416625">
            <w:pPr>
              <w:jc w:val="center"/>
              <w:rPr>
                <w:rFonts w:ascii="Calibri" w:hAnsi="Calibri"/>
                <w:b/>
                <w:bCs/>
                <w:color w:val="FFFFFF" w:themeColor="background1"/>
              </w:rPr>
            </w:pPr>
            <w:r w:rsidRPr="0000232C">
              <w:rPr>
                <w:rFonts w:ascii="Calibri" w:hAnsi="Calibri"/>
                <w:b/>
                <w:bCs/>
                <w:color w:val="FFFFFF" w:themeColor="background1"/>
              </w:rPr>
              <w:t>2016-17</w:t>
            </w:r>
          </w:p>
        </w:tc>
        <w:tc>
          <w:tcPr>
            <w:tcW w:w="123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59538F" w:rsidRDefault="0059538F" w:rsidP="00416625">
            <w:pPr>
              <w:jc w:val="center"/>
              <w:rPr>
                <w:rFonts w:ascii="Calibri" w:hAnsi="Calibri"/>
                <w:b/>
                <w:bCs/>
                <w:color w:val="FFFFFF" w:themeColor="background1"/>
              </w:rPr>
            </w:pPr>
          </w:p>
          <w:p w:rsidR="0059538F" w:rsidRDefault="0059538F" w:rsidP="00416625">
            <w:pPr>
              <w:jc w:val="center"/>
              <w:rPr>
                <w:rFonts w:ascii="Calibri" w:hAnsi="Calibri"/>
                <w:b/>
                <w:bCs/>
                <w:color w:val="FFFFFF" w:themeColor="background1"/>
              </w:rPr>
            </w:pPr>
            <w:r>
              <w:rPr>
                <w:rFonts w:ascii="Calibri" w:hAnsi="Calibri"/>
                <w:b/>
                <w:bCs/>
                <w:color w:val="FFFFFF" w:themeColor="background1"/>
              </w:rPr>
              <w:t>2017-18</w:t>
            </w:r>
          </w:p>
        </w:tc>
        <w:tc>
          <w:tcPr>
            <w:tcW w:w="155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rsidR="0059538F" w:rsidRDefault="0059538F" w:rsidP="00416625">
            <w:pPr>
              <w:jc w:val="center"/>
              <w:rPr>
                <w:rFonts w:ascii="Calibri" w:hAnsi="Calibri"/>
                <w:b/>
                <w:bCs/>
                <w:color w:val="FFFFFF" w:themeColor="background1"/>
              </w:rPr>
            </w:pPr>
            <w:r>
              <w:rPr>
                <w:rFonts w:ascii="Calibri" w:hAnsi="Calibri"/>
                <w:b/>
                <w:bCs/>
                <w:color w:val="FFFFFF" w:themeColor="background1"/>
              </w:rPr>
              <w:t>CC</w:t>
            </w:r>
            <w:r w:rsidR="00B80DE7">
              <w:rPr>
                <w:rFonts w:ascii="Calibri" w:hAnsi="Calibri"/>
                <w:b/>
                <w:bCs/>
                <w:color w:val="FFFFFF" w:themeColor="background1"/>
              </w:rPr>
              <w:t>G</w:t>
            </w:r>
            <w:r>
              <w:rPr>
                <w:rFonts w:ascii="Calibri" w:hAnsi="Calibri"/>
                <w:b/>
                <w:bCs/>
                <w:color w:val="FFFFFF" w:themeColor="background1"/>
              </w:rPr>
              <w:t xml:space="preserve"> Staff </w:t>
            </w:r>
          </w:p>
          <w:p w:rsidR="0059538F" w:rsidRPr="0000232C" w:rsidRDefault="0059538F" w:rsidP="0059538F">
            <w:pPr>
              <w:jc w:val="center"/>
              <w:rPr>
                <w:rFonts w:ascii="Calibri" w:hAnsi="Calibri"/>
                <w:b/>
                <w:bCs/>
                <w:color w:val="FFFFFF" w:themeColor="background1"/>
              </w:rPr>
            </w:pPr>
            <w:r w:rsidRPr="0000232C">
              <w:rPr>
                <w:rFonts w:ascii="Calibri" w:hAnsi="Calibri"/>
                <w:b/>
                <w:bCs/>
                <w:color w:val="FFFFFF" w:themeColor="background1"/>
              </w:rPr>
              <w:t>201</w:t>
            </w:r>
            <w:r>
              <w:rPr>
                <w:rFonts w:ascii="Calibri" w:hAnsi="Calibri"/>
                <w:b/>
                <w:bCs/>
                <w:color w:val="FFFFFF" w:themeColor="background1"/>
              </w:rPr>
              <w:t>7</w:t>
            </w:r>
            <w:r w:rsidRPr="0000232C">
              <w:rPr>
                <w:rFonts w:ascii="Calibri" w:hAnsi="Calibri"/>
                <w:b/>
                <w:bCs/>
                <w:color w:val="FFFFFF" w:themeColor="background1"/>
              </w:rPr>
              <w:t>-1</w:t>
            </w:r>
            <w:r>
              <w:rPr>
                <w:rFonts w:ascii="Calibri" w:hAnsi="Calibri"/>
                <w:b/>
                <w:bCs/>
                <w:color w:val="FFFFFF" w:themeColor="background1"/>
              </w:rPr>
              <w:t>8</w:t>
            </w:r>
          </w:p>
        </w:tc>
        <w:tc>
          <w:tcPr>
            <w:tcW w:w="155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hideMark/>
          </w:tcPr>
          <w:p w:rsidR="0059538F" w:rsidRPr="0000232C" w:rsidRDefault="0059538F" w:rsidP="0059538F">
            <w:pPr>
              <w:jc w:val="center"/>
              <w:rPr>
                <w:rFonts w:ascii="Calibri" w:hAnsi="Calibri"/>
                <w:b/>
                <w:bCs/>
                <w:color w:val="FFFFFF" w:themeColor="background1"/>
              </w:rPr>
            </w:pPr>
            <w:r w:rsidRPr="0000232C">
              <w:rPr>
                <w:rFonts w:ascii="Calibri" w:hAnsi="Calibri"/>
                <w:b/>
                <w:bCs/>
                <w:color w:val="FFFFFF" w:themeColor="background1"/>
              </w:rPr>
              <w:t>Offered 1</w:t>
            </w:r>
            <w:r>
              <w:rPr>
                <w:rFonts w:ascii="Calibri" w:hAnsi="Calibri"/>
                <w:b/>
                <w:bCs/>
                <w:color w:val="FFFFFF" w:themeColor="background1"/>
              </w:rPr>
              <w:t>7</w:t>
            </w:r>
            <w:r w:rsidRPr="0000232C">
              <w:rPr>
                <w:rFonts w:ascii="Calibri" w:hAnsi="Calibri"/>
                <w:b/>
                <w:bCs/>
                <w:color w:val="FFFFFF" w:themeColor="background1"/>
              </w:rPr>
              <w:t>-1</w:t>
            </w:r>
            <w:r>
              <w:rPr>
                <w:rFonts w:ascii="Calibri" w:hAnsi="Calibri"/>
                <w:b/>
                <w:bCs/>
                <w:color w:val="FFFFFF" w:themeColor="background1"/>
              </w:rPr>
              <w:t>8</w:t>
            </w:r>
          </w:p>
        </w:tc>
      </w:tr>
      <w:tr w:rsidR="009D46F0" w:rsidTr="009D46F0">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6F0" w:rsidRDefault="009D46F0" w:rsidP="009D46F0">
            <w:pPr>
              <w:jc w:val="center"/>
              <w:rPr>
                <w:rFonts w:ascii="Calibri" w:hAnsi="Calibri"/>
                <w:color w:val="000000"/>
              </w:rPr>
            </w:pPr>
            <w:r>
              <w:rPr>
                <w:rFonts w:ascii="Calibri" w:hAnsi="Calibri"/>
                <w:color w:val="000000"/>
              </w:rPr>
              <w:t>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6F0" w:rsidRDefault="009D46F0" w:rsidP="009D46F0">
            <w:pPr>
              <w:jc w:val="center"/>
              <w:rPr>
                <w:rFonts w:ascii="Calibri" w:hAnsi="Calibri"/>
                <w:color w:val="000000"/>
              </w:rPr>
            </w:pPr>
            <w:r>
              <w:rPr>
                <w:rFonts w:ascii="Calibri" w:hAnsi="Calibri"/>
                <w:color w:val="000000"/>
              </w:rPr>
              <w:t>95.9%</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6F0" w:rsidRDefault="009D46F0" w:rsidP="009D46F0">
            <w:pPr>
              <w:jc w:val="center"/>
              <w:rPr>
                <w:rFonts w:ascii="Calibri" w:hAnsi="Calibri"/>
                <w:color w:val="000000"/>
              </w:rPr>
            </w:pPr>
            <w:r>
              <w:rPr>
                <w:rFonts w:ascii="Calibri" w:hAnsi="Calibri"/>
                <w:color w:val="000000"/>
              </w:rPr>
              <w:t>95.0%</w:t>
            </w:r>
          </w:p>
        </w:tc>
        <w:tc>
          <w:tcPr>
            <w:tcW w:w="1233" w:type="dxa"/>
            <w:tcBorders>
              <w:top w:val="single" w:sz="4" w:space="0" w:color="auto"/>
              <w:left w:val="nil"/>
              <w:bottom w:val="single" w:sz="4" w:space="0" w:color="auto"/>
              <w:right w:val="nil"/>
            </w:tcBorders>
            <w:shd w:val="clear" w:color="auto" w:fill="auto"/>
            <w:vAlign w:val="bottom"/>
          </w:tcPr>
          <w:p w:rsidR="009D46F0" w:rsidRDefault="009D46F0" w:rsidP="009D46F0">
            <w:pPr>
              <w:jc w:val="right"/>
              <w:rPr>
                <w:rFonts w:ascii="Calibri" w:hAnsi="Calibri"/>
              </w:rPr>
            </w:pPr>
            <w:r>
              <w:rPr>
                <w:rFonts w:ascii="Calibri" w:hAnsi="Calibri"/>
              </w:rPr>
              <w:t>95%</w:t>
            </w:r>
          </w:p>
        </w:tc>
        <w:tc>
          <w:tcPr>
            <w:tcW w:w="1551" w:type="dxa"/>
            <w:tcBorders>
              <w:top w:val="single" w:sz="4" w:space="0" w:color="auto"/>
              <w:left w:val="single" w:sz="4" w:space="0" w:color="auto"/>
              <w:bottom w:val="single" w:sz="4" w:space="0" w:color="auto"/>
              <w:right w:val="single" w:sz="4" w:space="0" w:color="auto"/>
            </w:tcBorders>
            <w:vAlign w:val="bottom"/>
          </w:tcPr>
          <w:p w:rsidR="009D46F0" w:rsidRDefault="009D46F0" w:rsidP="009D46F0">
            <w:pPr>
              <w:jc w:val="center"/>
              <w:rPr>
                <w:rFonts w:ascii="Calibri" w:hAnsi="Calibri"/>
                <w:color w:val="000000"/>
              </w:rPr>
            </w:pPr>
            <w:r>
              <w:rPr>
                <w:rFonts w:ascii="Calibri" w:hAnsi="Calibri"/>
                <w:color w:val="000000"/>
              </w:rPr>
              <w:t>72.48%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D46F0" w:rsidRDefault="009D46F0" w:rsidP="009D46F0">
            <w:pPr>
              <w:jc w:val="center"/>
              <w:rPr>
                <w:rFonts w:ascii="Calibri" w:hAnsi="Calibri"/>
              </w:rPr>
            </w:pPr>
            <w:r>
              <w:rPr>
                <w:rFonts w:ascii="Calibri" w:hAnsi="Calibri"/>
              </w:rPr>
              <w:t>95%</w:t>
            </w:r>
          </w:p>
        </w:tc>
      </w:tr>
      <w:tr w:rsidR="009D46F0" w:rsidTr="009D46F0">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6F0" w:rsidRDefault="009D46F0" w:rsidP="009D46F0">
            <w:pPr>
              <w:jc w:val="center"/>
              <w:rPr>
                <w:rFonts w:ascii="Calibri" w:hAnsi="Calibri"/>
                <w:color w:val="000000"/>
              </w:rPr>
            </w:pPr>
            <w:r>
              <w:rPr>
                <w:rFonts w:ascii="Calibri" w:hAnsi="Calibri"/>
                <w:color w:val="000000"/>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6F0" w:rsidRDefault="009D46F0" w:rsidP="009D46F0">
            <w:pPr>
              <w:jc w:val="center"/>
              <w:rPr>
                <w:rFonts w:ascii="Calibri" w:hAnsi="Calibri"/>
                <w:color w:val="000000"/>
              </w:rPr>
            </w:pPr>
            <w:r>
              <w:rPr>
                <w:rFonts w:ascii="Calibri" w:hAnsi="Calibri"/>
                <w:color w:val="000000"/>
              </w:rPr>
              <w:t>4.1%</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6F0" w:rsidRDefault="009D46F0" w:rsidP="009D46F0">
            <w:pPr>
              <w:jc w:val="center"/>
              <w:rPr>
                <w:rFonts w:ascii="Calibri" w:hAnsi="Calibri"/>
                <w:color w:val="000000"/>
              </w:rPr>
            </w:pPr>
            <w:r>
              <w:rPr>
                <w:rFonts w:ascii="Calibri" w:hAnsi="Calibri"/>
                <w:color w:val="000000"/>
              </w:rPr>
              <w:t>5.0%</w:t>
            </w:r>
          </w:p>
        </w:tc>
        <w:tc>
          <w:tcPr>
            <w:tcW w:w="1233" w:type="dxa"/>
            <w:tcBorders>
              <w:top w:val="single" w:sz="4" w:space="0" w:color="auto"/>
              <w:left w:val="nil"/>
              <w:bottom w:val="single" w:sz="4" w:space="0" w:color="auto"/>
              <w:right w:val="nil"/>
            </w:tcBorders>
            <w:shd w:val="clear" w:color="auto" w:fill="auto"/>
            <w:vAlign w:val="bottom"/>
          </w:tcPr>
          <w:p w:rsidR="009D46F0" w:rsidRDefault="009D46F0" w:rsidP="009D46F0">
            <w:pPr>
              <w:jc w:val="right"/>
              <w:rPr>
                <w:rFonts w:ascii="Calibri" w:hAnsi="Calibri"/>
              </w:rPr>
            </w:pPr>
            <w:r>
              <w:rPr>
                <w:rFonts w:ascii="Calibri" w:hAnsi="Calibri"/>
              </w:rPr>
              <w:t>5%</w:t>
            </w:r>
          </w:p>
        </w:tc>
        <w:tc>
          <w:tcPr>
            <w:tcW w:w="1551" w:type="dxa"/>
            <w:tcBorders>
              <w:top w:val="single" w:sz="4" w:space="0" w:color="auto"/>
              <w:left w:val="single" w:sz="4" w:space="0" w:color="auto"/>
              <w:bottom w:val="single" w:sz="4" w:space="0" w:color="auto"/>
              <w:right w:val="single" w:sz="4" w:space="0" w:color="auto"/>
            </w:tcBorders>
            <w:vAlign w:val="bottom"/>
          </w:tcPr>
          <w:p w:rsidR="009D46F0" w:rsidRDefault="009D46F0" w:rsidP="009D46F0">
            <w:pPr>
              <w:jc w:val="center"/>
              <w:rPr>
                <w:rFonts w:ascii="Calibri" w:hAnsi="Calibri"/>
                <w:color w:val="000000"/>
              </w:rPr>
            </w:pPr>
            <w:r>
              <w:rPr>
                <w:rFonts w:ascii="Calibri" w:hAnsi="Calibri"/>
                <w:color w:val="000000"/>
              </w:rPr>
              <w:t>4.7%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D46F0" w:rsidRDefault="009D46F0" w:rsidP="009D46F0">
            <w:pPr>
              <w:jc w:val="center"/>
              <w:rPr>
                <w:rFonts w:ascii="Calibri" w:hAnsi="Calibri"/>
              </w:rPr>
            </w:pPr>
            <w:r>
              <w:rPr>
                <w:rFonts w:ascii="Calibri" w:hAnsi="Calibri"/>
              </w:rPr>
              <w:t>5%</w:t>
            </w:r>
          </w:p>
        </w:tc>
      </w:tr>
      <w:tr w:rsidR="009D46F0" w:rsidTr="009D46F0">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6F0" w:rsidRDefault="009D46F0" w:rsidP="009D46F0">
            <w:pPr>
              <w:jc w:val="center"/>
              <w:rPr>
                <w:rFonts w:ascii="Calibri" w:hAnsi="Calibri"/>
                <w:color w:val="000000"/>
              </w:rPr>
            </w:pPr>
            <w:r>
              <w:rPr>
                <w:rFonts w:ascii="Calibri" w:hAnsi="Calibri"/>
                <w:color w:val="000000"/>
              </w:rPr>
              <w:t>Decline to specify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6F0" w:rsidRDefault="009D46F0" w:rsidP="009D46F0">
            <w:pPr>
              <w:jc w:val="center"/>
              <w:rPr>
                <w:rFonts w:ascii="Calibri" w:hAnsi="Calibri"/>
                <w:color w:val="000000"/>
              </w:rPr>
            </w:pPr>
            <w:r>
              <w:rPr>
                <w:rFonts w:ascii="Calibri" w:hAnsi="Calibri"/>
                <w:color w:val="000000"/>
              </w:rPr>
              <w:t>0.0%</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6F0" w:rsidRDefault="009D46F0" w:rsidP="009D46F0">
            <w:pPr>
              <w:jc w:val="center"/>
              <w:rPr>
                <w:rFonts w:ascii="Calibri" w:hAnsi="Calibri"/>
                <w:color w:val="000000"/>
              </w:rPr>
            </w:pPr>
            <w:r>
              <w:rPr>
                <w:rFonts w:ascii="Calibri" w:hAnsi="Calibri"/>
                <w:color w:val="000000"/>
              </w:rPr>
              <w:t>0.0%</w:t>
            </w:r>
          </w:p>
        </w:tc>
        <w:tc>
          <w:tcPr>
            <w:tcW w:w="1233" w:type="dxa"/>
            <w:tcBorders>
              <w:top w:val="single" w:sz="4" w:space="0" w:color="auto"/>
              <w:left w:val="nil"/>
              <w:bottom w:val="single" w:sz="4" w:space="0" w:color="auto"/>
              <w:right w:val="nil"/>
            </w:tcBorders>
            <w:shd w:val="clear" w:color="auto" w:fill="auto"/>
            <w:vAlign w:val="bottom"/>
          </w:tcPr>
          <w:p w:rsidR="009D46F0" w:rsidRDefault="009D46F0" w:rsidP="009D46F0">
            <w:pPr>
              <w:jc w:val="right"/>
              <w:rPr>
                <w:rFonts w:ascii="Calibri" w:hAnsi="Calibri"/>
              </w:rPr>
            </w:pPr>
            <w:r>
              <w:rPr>
                <w:rFonts w:ascii="Calibri" w:hAnsi="Calibri"/>
              </w:rPr>
              <w:t>0%</w:t>
            </w:r>
          </w:p>
        </w:tc>
        <w:tc>
          <w:tcPr>
            <w:tcW w:w="1551" w:type="dxa"/>
            <w:tcBorders>
              <w:top w:val="single" w:sz="4" w:space="0" w:color="auto"/>
              <w:left w:val="single" w:sz="4" w:space="0" w:color="auto"/>
              <w:bottom w:val="single" w:sz="4" w:space="0" w:color="auto"/>
              <w:right w:val="single" w:sz="4" w:space="0" w:color="auto"/>
            </w:tcBorders>
            <w:vAlign w:val="bottom"/>
          </w:tcPr>
          <w:p w:rsidR="009D46F0" w:rsidRDefault="009D46F0" w:rsidP="009D46F0">
            <w:pPr>
              <w:jc w:val="center"/>
              <w:rPr>
                <w:rFonts w:ascii="Calibri" w:hAnsi="Calibri"/>
                <w:color w:val="000000"/>
              </w:rPr>
            </w:pPr>
            <w:r>
              <w:rPr>
                <w:rFonts w:ascii="Calibri" w:hAnsi="Calibri"/>
                <w:color w:val="000000"/>
              </w:rPr>
              <w:t>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D46F0" w:rsidRDefault="009D46F0" w:rsidP="009D46F0">
            <w:pPr>
              <w:jc w:val="center"/>
              <w:rPr>
                <w:rFonts w:ascii="Calibri" w:hAnsi="Calibri"/>
              </w:rPr>
            </w:pPr>
            <w:r>
              <w:rPr>
                <w:rFonts w:ascii="Calibri" w:hAnsi="Calibri"/>
              </w:rPr>
              <w:t>0%</w:t>
            </w:r>
          </w:p>
        </w:tc>
      </w:tr>
      <w:tr w:rsidR="009D46F0" w:rsidTr="009D46F0">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6F0" w:rsidRDefault="009D46F0" w:rsidP="009D46F0">
            <w:pPr>
              <w:jc w:val="center"/>
              <w:rPr>
                <w:rFonts w:ascii="Calibri" w:hAnsi="Calibri"/>
                <w:color w:val="000000"/>
              </w:rPr>
            </w:pPr>
            <w:r>
              <w:rPr>
                <w:rFonts w:ascii="Calibri" w:hAnsi="Calibri"/>
                <w:color w:val="000000"/>
              </w:rPr>
              <w:t>Unknown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6F0" w:rsidRDefault="009D46F0" w:rsidP="009D46F0">
            <w:pPr>
              <w:jc w:val="center"/>
              <w:rPr>
                <w:rFonts w:ascii="Calibri" w:hAnsi="Calibri"/>
                <w:color w:val="000000"/>
              </w:rPr>
            </w:pPr>
            <w:r>
              <w:rPr>
                <w:rFonts w:ascii="Calibri" w:hAnsi="Calibri"/>
                <w:color w:val="000000"/>
              </w:rPr>
              <w:t>0.0%</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46F0" w:rsidRDefault="009D46F0" w:rsidP="009D46F0">
            <w:pPr>
              <w:jc w:val="center"/>
              <w:rPr>
                <w:rFonts w:ascii="Calibri" w:hAnsi="Calibri"/>
                <w:color w:val="000000"/>
              </w:rPr>
            </w:pPr>
            <w:r>
              <w:rPr>
                <w:rFonts w:ascii="Calibri" w:hAnsi="Calibri"/>
                <w:color w:val="000000"/>
              </w:rPr>
              <w:t>0.0%</w:t>
            </w:r>
          </w:p>
        </w:tc>
        <w:tc>
          <w:tcPr>
            <w:tcW w:w="1233" w:type="dxa"/>
            <w:tcBorders>
              <w:top w:val="single" w:sz="4" w:space="0" w:color="auto"/>
              <w:left w:val="nil"/>
              <w:bottom w:val="single" w:sz="4" w:space="0" w:color="auto"/>
              <w:right w:val="nil"/>
            </w:tcBorders>
            <w:shd w:val="clear" w:color="auto" w:fill="auto"/>
            <w:vAlign w:val="bottom"/>
          </w:tcPr>
          <w:p w:rsidR="009D46F0" w:rsidRDefault="009D46F0" w:rsidP="009D46F0">
            <w:pPr>
              <w:jc w:val="right"/>
              <w:rPr>
                <w:rFonts w:ascii="Calibri" w:hAnsi="Calibri"/>
              </w:rPr>
            </w:pPr>
            <w:r>
              <w:rPr>
                <w:rFonts w:ascii="Calibri" w:hAnsi="Calibri"/>
              </w:rPr>
              <w:t>0%</w:t>
            </w:r>
          </w:p>
        </w:tc>
        <w:tc>
          <w:tcPr>
            <w:tcW w:w="1551" w:type="dxa"/>
            <w:tcBorders>
              <w:top w:val="single" w:sz="4" w:space="0" w:color="auto"/>
              <w:left w:val="single" w:sz="4" w:space="0" w:color="auto"/>
              <w:bottom w:val="single" w:sz="4" w:space="0" w:color="auto"/>
              <w:right w:val="single" w:sz="4" w:space="0" w:color="auto"/>
            </w:tcBorders>
            <w:vAlign w:val="bottom"/>
          </w:tcPr>
          <w:p w:rsidR="009D46F0" w:rsidRDefault="009D46F0" w:rsidP="009D46F0">
            <w:pPr>
              <w:jc w:val="center"/>
              <w:rPr>
                <w:rFonts w:ascii="Calibri" w:hAnsi="Calibri"/>
                <w:color w:val="000000"/>
              </w:rPr>
            </w:pPr>
            <w:r>
              <w:rPr>
                <w:rFonts w:ascii="Calibri" w:hAnsi="Calibri"/>
                <w:color w:val="000000"/>
              </w:rPr>
              <w:t>22.8%</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D46F0" w:rsidRDefault="009D46F0" w:rsidP="009D46F0">
            <w:pPr>
              <w:jc w:val="center"/>
              <w:rPr>
                <w:rFonts w:ascii="Calibri" w:hAnsi="Calibri"/>
              </w:rPr>
            </w:pPr>
            <w:r>
              <w:rPr>
                <w:rFonts w:ascii="Calibri" w:hAnsi="Calibri"/>
              </w:rPr>
              <w:t>0%</w:t>
            </w:r>
          </w:p>
        </w:tc>
      </w:tr>
    </w:tbl>
    <w:p w:rsidR="00230857" w:rsidRPr="0045204F" w:rsidRDefault="00230857" w:rsidP="00230857">
      <w:pPr>
        <w:rPr>
          <w:rFonts w:cstheme="minorHAnsi"/>
          <w:color w:val="FF0000"/>
        </w:rPr>
      </w:pPr>
    </w:p>
    <w:p w:rsidR="00230857" w:rsidRDefault="00230857" w:rsidP="00CF3C84">
      <w:pPr>
        <w:rPr>
          <w:rFonts w:eastAsiaTheme="minorEastAsia" w:cstheme="minorHAnsi"/>
          <w:lang w:eastAsia="en-GB"/>
        </w:rPr>
      </w:pPr>
      <w:r w:rsidRPr="0045204F">
        <w:rPr>
          <w:rFonts w:eastAsiaTheme="minorEastAsia" w:cstheme="minorHAnsi"/>
          <w:lang w:eastAsia="en-GB"/>
        </w:rPr>
        <w:t>As previously</w:t>
      </w:r>
      <w:r>
        <w:rPr>
          <w:rFonts w:eastAsiaTheme="minorEastAsia" w:cstheme="minorHAnsi"/>
          <w:lang w:eastAsia="en-GB"/>
        </w:rPr>
        <w:t xml:space="preserve"> reported in section 3</w:t>
      </w:r>
      <w:r w:rsidRPr="0045204F">
        <w:rPr>
          <w:rFonts w:eastAsiaTheme="minorEastAsia" w:cstheme="minorHAnsi"/>
          <w:lang w:eastAsia="en-GB"/>
        </w:rPr>
        <w:t xml:space="preserve">, </w:t>
      </w:r>
      <w:r>
        <w:rPr>
          <w:rFonts w:eastAsiaTheme="minorEastAsia" w:cstheme="minorHAnsi"/>
          <w:lang w:eastAsia="en-GB"/>
        </w:rPr>
        <w:t>the College, a</w:t>
      </w:r>
      <w:r w:rsidRPr="002E2113">
        <w:rPr>
          <w:rFonts w:eastAsiaTheme="minorEastAsia" w:cstheme="minorHAnsi"/>
          <w:lang w:eastAsia="en-GB"/>
        </w:rPr>
        <w:t xml:space="preserve">ssessed and accredited as a ‘Disability Confident Employer’ (replacing the disability ‘two ticks’ symbol), </w:t>
      </w:r>
      <w:r>
        <w:rPr>
          <w:rFonts w:eastAsiaTheme="minorEastAsia" w:cstheme="minorHAnsi"/>
          <w:lang w:eastAsia="en-GB"/>
        </w:rPr>
        <w:t xml:space="preserve">demonstrates the </w:t>
      </w:r>
      <w:r w:rsidRPr="002E2113">
        <w:rPr>
          <w:rFonts w:eastAsiaTheme="minorEastAsia" w:cstheme="minorHAnsi"/>
          <w:lang w:eastAsia="en-GB"/>
        </w:rPr>
        <w:t>College</w:t>
      </w:r>
      <w:r>
        <w:rPr>
          <w:rFonts w:eastAsiaTheme="minorEastAsia" w:cstheme="minorHAnsi"/>
          <w:lang w:eastAsia="en-GB"/>
        </w:rPr>
        <w:t xml:space="preserve">’s </w:t>
      </w:r>
      <w:r w:rsidRPr="002E2113">
        <w:rPr>
          <w:rFonts w:eastAsiaTheme="minorEastAsia" w:cstheme="minorHAnsi"/>
          <w:lang w:eastAsia="en-GB"/>
        </w:rPr>
        <w:t>commit</w:t>
      </w:r>
      <w:r>
        <w:rPr>
          <w:rFonts w:eastAsiaTheme="minorEastAsia" w:cstheme="minorHAnsi"/>
          <w:lang w:eastAsia="en-GB"/>
        </w:rPr>
        <w:t>ment</w:t>
      </w:r>
      <w:r w:rsidRPr="002E2113">
        <w:rPr>
          <w:rFonts w:eastAsiaTheme="minorEastAsia" w:cstheme="minorHAnsi"/>
          <w:lang w:eastAsia="en-GB"/>
        </w:rPr>
        <w:t xml:space="preserve"> to </w:t>
      </w:r>
      <w:r>
        <w:rPr>
          <w:rFonts w:eastAsiaTheme="minorEastAsia" w:cstheme="minorHAnsi"/>
          <w:lang w:eastAsia="en-GB"/>
        </w:rPr>
        <w:t xml:space="preserve">recruiting to and </w:t>
      </w:r>
      <w:r w:rsidRPr="002E2113">
        <w:rPr>
          <w:rFonts w:eastAsiaTheme="minorEastAsia" w:cstheme="minorHAnsi"/>
          <w:lang w:eastAsia="en-GB"/>
        </w:rPr>
        <w:t>employing people with a disability. The College guarantee</w:t>
      </w:r>
      <w:r>
        <w:rPr>
          <w:rFonts w:eastAsiaTheme="minorEastAsia" w:cstheme="minorHAnsi"/>
          <w:lang w:eastAsia="en-GB"/>
        </w:rPr>
        <w:t>s</w:t>
      </w:r>
      <w:r w:rsidRPr="002E2113">
        <w:rPr>
          <w:rFonts w:eastAsiaTheme="minorEastAsia" w:cstheme="minorHAnsi"/>
          <w:lang w:eastAsia="en-GB"/>
        </w:rPr>
        <w:t xml:space="preserve"> an interview for all applicants with a disability, recognised within the definition of the Equality Act, who meet the essential criteria for a job vacancy and assess them on their skills, experience and qualifications. Reasonable adjustments are offered at every stage of the Recruitment &amp; Selection process.</w:t>
      </w:r>
    </w:p>
    <w:p w:rsidR="00230857" w:rsidRDefault="00B80DE7" w:rsidP="00CF3C84">
      <w:pPr>
        <w:rPr>
          <w:rFonts w:eastAsiaTheme="minorEastAsia" w:cstheme="minorHAnsi"/>
          <w:lang w:eastAsia="en-GB"/>
        </w:rPr>
      </w:pPr>
      <w:r>
        <w:rPr>
          <w:rFonts w:eastAsiaTheme="minorEastAsia" w:cstheme="minorHAnsi"/>
          <w:lang w:eastAsia="en-GB"/>
        </w:rPr>
        <w:t>The percentage of candidates who received a job offer and</w:t>
      </w:r>
      <w:r w:rsidR="00791164">
        <w:rPr>
          <w:rFonts w:eastAsiaTheme="minorEastAsia" w:cstheme="minorHAnsi"/>
          <w:lang w:eastAsia="en-GB"/>
        </w:rPr>
        <w:t xml:space="preserve"> who had declared a disability was 5%, marginally higher than the percentage staff profile of 4.7%</w:t>
      </w:r>
      <w:r w:rsidR="004455C3">
        <w:rPr>
          <w:rFonts w:eastAsiaTheme="minorEastAsia" w:cstheme="minorHAnsi"/>
          <w:lang w:eastAsia="en-GB"/>
        </w:rPr>
        <w:t xml:space="preserve">, </w:t>
      </w:r>
      <w:r w:rsidR="00791164">
        <w:rPr>
          <w:rFonts w:eastAsiaTheme="minorEastAsia" w:cstheme="minorHAnsi"/>
          <w:lang w:eastAsia="en-GB"/>
        </w:rPr>
        <w:t>and identical to the rate of job applicants in 2016-17</w:t>
      </w:r>
      <w:r w:rsidR="009D46F0">
        <w:rPr>
          <w:rFonts w:eastAsiaTheme="minorEastAsia" w:cstheme="minorHAnsi"/>
          <w:lang w:eastAsia="en-GB"/>
        </w:rPr>
        <w:t xml:space="preserve">. </w:t>
      </w:r>
    </w:p>
    <w:p w:rsidR="0095358D" w:rsidRDefault="0095358D" w:rsidP="00CF3C84">
      <w:pPr>
        <w:rPr>
          <w:rFonts w:eastAsiaTheme="minorEastAsia" w:cstheme="minorHAnsi"/>
          <w:lang w:eastAsia="en-GB"/>
        </w:rPr>
      </w:pPr>
    </w:p>
    <w:p w:rsidR="0095358D" w:rsidRDefault="0095358D" w:rsidP="00CF3C84">
      <w:pPr>
        <w:rPr>
          <w:rFonts w:eastAsiaTheme="minorEastAsia" w:cstheme="minorHAnsi"/>
          <w:lang w:eastAsia="en-GB"/>
        </w:rPr>
      </w:pPr>
    </w:p>
    <w:p w:rsidR="0095358D" w:rsidRPr="0045204F" w:rsidRDefault="0095358D" w:rsidP="00CF3C84">
      <w:pPr>
        <w:rPr>
          <w:rFonts w:eastAsiaTheme="minorEastAsia" w:cstheme="minorHAnsi"/>
          <w:b/>
          <w:lang w:eastAsia="en-GB"/>
        </w:rPr>
      </w:pPr>
    </w:p>
    <w:p w:rsidR="00230857" w:rsidRPr="006A6108" w:rsidRDefault="00230857" w:rsidP="00230857">
      <w:pPr>
        <w:rPr>
          <w:rFonts w:eastAsiaTheme="minorEastAsia" w:cstheme="minorHAnsi"/>
          <w:b/>
          <w:lang w:eastAsia="en-GB"/>
        </w:rPr>
      </w:pPr>
      <w:r w:rsidRPr="0045204F">
        <w:rPr>
          <w:rFonts w:eastAsiaTheme="minorEastAsia" w:cstheme="minorHAnsi"/>
          <w:b/>
          <w:lang w:eastAsia="en-GB"/>
        </w:rPr>
        <w:lastRenderedPageBreak/>
        <w:t xml:space="preserve"> </w:t>
      </w:r>
      <w:r w:rsidR="0095358D" w:rsidRPr="006A6108">
        <w:rPr>
          <w:rFonts w:eastAsiaTheme="minorEastAsia" w:cstheme="minorHAnsi"/>
          <w:b/>
          <w:u w:val="single"/>
          <w:lang w:eastAsia="en-GB"/>
        </w:rPr>
        <w:t>Job Applicants</w:t>
      </w:r>
      <w:r w:rsidRPr="006A6108">
        <w:rPr>
          <w:rFonts w:eastAsiaTheme="minorEastAsia" w:cstheme="minorHAnsi"/>
          <w:b/>
          <w:u w:val="single"/>
          <w:lang w:eastAsia="en-GB"/>
        </w:rPr>
        <w:t xml:space="preserve"> Ethnicity Profiling</w:t>
      </w:r>
    </w:p>
    <w:p w:rsidR="006A6108" w:rsidRPr="006A6108" w:rsidRDefault="006828B5" w:rsidP="006828B5">
      <w:pPr>
        <w:rPr>
          <w:rFonts w:eastAsiaTheme="minorEastAsia" w:cstheme="minorHAnsi"/>
          <w:lang w:eastAsia="en-GB"/>
        </w:rPr>
      </w:pPr>
      <w:r w:rsidRPr="006A6108">
        <w:rPr>
          <w:rFonts w:eastAsiaTheme="minorEastAsia" w:cstheme="minorHAnsi"/>
          <w:lang w:eastAsia="en-GB"/>
        </w:rPr>
        <w:t>The college has a Black &amp; Minority Ethnicity (BME) rate of 6%, compared to 5.6% in 2016/17 and 6.5% in 2015/16</w:t>
      </w:r>
      <w:r w:rsidR="006A6108" w:rsidRPr="006A6108">
        <w:rPr>
          <w:rFonts w:eastAsiaTheme="minorEastAsia" w:cstheme="minorHAnsi"/>
          <w:lang w:eastAsia="en-GB"/>
        </w:rPr>
        <w:t>.</w:t>
      </w:r>
    </w:p>
    <w:p w:rsidR="006A6108" w:rsidRDefault="006A6108" w:rsidP="006A6108">
      <w:r w:rsidRPr="006A6108">
        <w:rPr>
          <w:rFonts w:eastAsiaTheme="minorEastAsia" w:cstheme="minorHAnsi"/>
          <w:lang w:eastAsia="en-GB"/>
        </w:rPr>
        <w:t>In 2017/18, the percentage of BME job applicants was</w:t>
      </w:r>
      <w:r>
        <w:rPr>
          <w:rFonts w:eastAsiaTheme="minorEastAsia" w:cstheme="minorHAnsi"/>
          <w:lang w:eastAsia="en-GB"/>
        </w:rPr>
        <w:t xml:space="preserve"> 8% and continues a</w:t>
      </w:r>
      <w:r w:rsidR="0095358D" w:rsidRPr="0095358D">
        <w:rPr>
          <w:rFonts w:eastAsiaTheme="minorEastAsia" w:cstheme="minorHAnsi"/>
          <w:lang w:eastAsia="en-GB"/>
        </w:rPr>
        <w:t xml:space="preserve"> continuing trend of increased diversification of job applicants</w:t>
      </w:r>
      <w:r>
        <w:rPr>
          <w:rFonts w:eastAsiaTheme="minorEastAsia" w:cstheme="minorHAnsi"/>
          <w:lang w:eastAsia="en-GB"/>
        </w:rPr>
        <w:t xml:space="preserve">. </w:t>
      </w:r>
      <w:r w:rsidR="0095358D" w:rsidRPr="0095358D">
        <w:rPr>
          <w:rFonts w:eastAsiaTheme="minorEastAsia" w:cstheme="minorHAnsi"/>
          <w:lang w:eastAsia="en-GB"/>
        </w:rPr>
        <w:t xml:space="preserve">The increases potentially reflect an increasingly diverse range of advertising media used when compared to recent years, which </w:t>
      </w:r>
      <w:r w:rsidR="004455C3">
        <w:rPr>
          <w:rFonts w:eastAsiaTheme="minorEastAsia" w:cstheme="minorHAnsi"/>
          <w:lang w:eastAsia="en-GB"/>
        </w:rPr>
        <w:t>previously</w:t>
      </w:r>
      <w:r w:rsidR="0095358D" w:rsidRPr="0095358D">
        <w:rPr>
          <w:rFonts w:eastAsiaTheme="minorEastAsia" w:cstheme="minorHAnsi"/>
          <w:lang w:eastAsia="en-GB"/>
        </w:rPr>
        <w:t xml:space="preserve"> comprise</w:t>
      </w:r>
      <w:r w:rsidR="004455C3">
        <w:rPr>
          <w:rFonts w:eastAsiaTheme="minorEastAsia" w:cstheme="minorHAnsi"/>
          <w:lang w:eastAsia="en-GB"/>
        </w:rPr>
        <w:t>d</w:t>
      </w:r>
      <w:r w:rsidR="0095358D" w:rsidRPr="0095358D">
        <w:rPr>
          <w:rFonts w:eastAsiaTheme="minorEastAsia" w:cstheme="minorHAnsi"/>
          <w:lang w:eastAsia="en-GB"/>
        </w:rPr>
        <w:t xml:space="preserve"> of mainly local newspaper advertising. Media now includes not just the FE sector, but also trade and non-FE sector specialist advertising such as business development and sales, as the College seeks to recruit more applicants from industry and commerce.</w:t>
      </w:r>
      <w:r w:rsidRPr="006A6108">
        <w:t xml:space="preserve"> </w:t>
      </w:r>
    </w:p>
    <w:p w:rsidR="006A6108" w:rsidRPr="006A6108" w:rsidRDefault="00E50BAC" w:rsidP="006A6108">
      <w:pPr>
        <w:rPr>
          <w:rFonts w:eastAsiaTheme="minorEastAsia" w:cstheme="minorHAnsi"/>
          <w:lang w:eastAsia="en-GB"/>
        </w:rPr>
      </w:pPr>
      <w:r>
        <w:t>However,</w:t>
      </w:r>
      <w:r w:rsidR="006A6108">
        <w:t xml:space="preserve"> the p</w:t>
      </w:r>
      <w:r w:rsidR="006A6108" w:rsidRPr="006A6108">
        <w:rPr>
          <w:rFonts w:eastAsiaTheme="minorEastAsia" w:cstheme="minorHAnsi"/>
          <w:lang w:eastAsia="en-GB"/>
        </w:rPr>
        <w:t>ercentage of BME job applicants receiving an offer of employment was 5%</w:t>
      </w:r>
      <w:r w:rsidR="006A6108">
        <w:rPr>
          <w:rFonts w:eastAsiaTheme="minorEastAsia" w:cstheme="minorHAnsi"/>
          <w:lang w:eastAsia="en-GB"/>
        </w:rPr>
        <w:t>, lower than the college’s BME staff profile of 6%</w:t>
      </w:r>
      <w:r w:rsidR="006A6108" w:rsidRPr="006A6108">
        <w:rPr>
          <w:rFonts w:eastAsiaTheme="minorEastAsia" w:cstheme="minorHAnsi"/>
          <w:lang w:eastAsia="en-GB"/>
        </w:rPr>
        <w:t>. Again, the difference may be accounted for by one individual.</w:t>
      </w:r>
    </w:p>
    <w:p w:rsidR="006A6108" w:rsidRPr="00B2086A" w:rsidRDefault="00B2086A" w:rsidP="00230857">
      <w:pPr>
        <w:shd w:val="clear" w:color="auto" w:fill="FFFFFF" w:themeFill="background1"/>
        <w:rPr>
          <w:rFonts w:cstheme="minorHAnsi"/>
          <w:b/>
          <w:u w:val="single"/>
        </w:rPr>
      </w:pPr>
      <w:r w:rsidRPr="00B2086A">
        <w:rPr>
          <w:rFonts w:cstheme="minorHAnsi"/>
          <w:b/>
          <w:u w:val="single"/>
        </w:rPr>
        <w:t>Job Applicants Religion &amp; Belief</w:t>
      </w:r>
    </w:p>
    <w:p w:rsidR="006A6108" w:rsidRDefault="00B2086A" w:rsidP="00230857">
      <w:pPr>
        <w:shd w:val="clear" w:color="auto" w:fill="FFFFFF" w:themeFill="background1"/>
        <w:rPr>
          <w:rFonts w:cstheme="minorHAnsi"/>
        </w:rPr>
      </w:pPr>
      <w:r>
        <w:rPr>
          <w:rFonts w:cstheme="minorHAnsi"/>
        </w:rPr>
        <w:t xml:space="preserve">Of the 1,531 external job applicants, 38% were Christian, 55% did not disclose and 7% disclosed a different religion or belief and/or did not respond.  Of the job applicants who received a job offer, 39% were Christian, while 61% </w:t>
      </w:r>
      <w:r w:rsidR="00AC2CE0">
        <w:rPr>
          <w:rFonts w:cstheme="minorHAnsi"/>
        </w:rPr>
        <w:t>did not disclose.</w:t>
      </w:r>
    </w:p>
    <w:p w:rsidR="00AC2CE0" w:rsidRPr="00AC2CE0" w:rsidRDefault="00AC2CE0" w:rsidP="00230857">
      <w:pPr>
        <w:shd w:val="clear" w:color="auto" w:fill="FFFFFF" w:themeFill="background1"/>
        <w:rPr>
          <w:rFonts w:cstheme="minorHAnsi"/>
          <w:b/>
          <w:u w:val="single"/>
        </w:rPr>
      </w:pPr>
      <w:r w:rsidRPr="00AC2CE0">
        <w:rPr>
          <w:rFonts w:cstheme="minorHAnsi"/>
          <w:b/>
          <w:u w:val="single"/>
        </w:rPr>
        <w:t>Job Applicants Sexual Orientation</w:t>
      </w:r>
    </w:p>
    <w:p w:rsidR="00E91B8A" w:rsidRDefault="00794029" w:rsidP="00230857">
      <w:pPr>
        <w:shd w:val="clear" w:color="auto" w:fill="FFFFFF" w:themeFill="background1"/>
        <w:rPr>
          <w:rFonts w:cstheme="minorHAnsi"/>
        </w:rPr>
      </w:pPr>
      <w:r>
        <w:rPr>
          <w:rFonts w:cstheme="minorHAnsi"/>
        </w:rPr>
        <w:t xml:space="preserve">95% of job applicants chose to disclose their sexual orientation, compared to just 60% of college employees. </w:t>
      </w:r>
      <w:r w:rsidR="00C976B6">
        <w:rPr>
          <w:rFonts w:cstheme="minorHAnsi"/>
        </w:rPr>
        <w:t xml:space="preserve">92% of job applicants offered a role are heterosexual, compared to 97% of college employees (who disclosed their orientation). </w:t>
      </w:r>
    </w:p>
    <w:p w:rsidR="00E91B8A" w:rsidRDefault="00517C92" w:rsidP="00230857">
      <w:pPr>
        <w:shd w:val="clear" w:color="auto" w:fill="FFFFFF" w:themeFill="background1"/>
        <w:rPr>
          <w:rFonts w:cstheme="minorHAnsi"/>
        </w:rPr>
      </w:pPr>
      <w:r>
        <w:rPr>
          <w:rFonts w:cstheme="minorHAnsi"/>
        </w:rPr>
        <w:t>There is no data available on job applicants’ gender reassignment.</w:t>
      </w:r>
    </w:p>
    <w:p w:rsidR="00E91B8A" w:rsidRPr="00517C92" w:rsidRDefault="00246DDF" w:rsidP="00230857">
      <w:pPr>
        <w:shd w:val="clear" w:color="auto" w:fill="FFFFFF" w:themeFill="background1"/>
        <w:rPr>
          <w:rFonts w:cstheme="minorHAnsi"/>
          <w:b/>
          <w:u w:val="single"/>
        </w:rPr>
      </w:pPr>
      <w:r>
        <w:rPr>
          <w:rFonts w:cstheme="minorHAnsi"/>
          <w:b/>
          <w:u w:val="single"/>
        </w:rPr>
        <w:t xml:space="preserve">Job Applicants EDI </w:t>
      </w:r>
      <w:r w:rsidR="00517C92" w:rsidRPr="00517C92">
        <w:rPr>
          <w:rFonts w:cstheme="minorHAnsi"/>
          <w:b/>
          <w:u w:val="single"/>
        </w:rPr>
        <w:t>Summary</w:t>
      </w:r>
    </w:p>
    <w:p w:rsidR="00230857" w:rsidRPr="00AB0063" w:rsidRDefault="00230857" w:rsidP="00230857">
      <w:pPr>
        <w:shd w:val="clear" w:color="auto" w:fill="FFFFFF" w:themeFill="background1"/>
        <w:rPr>
          <w:rFonts w:cstheme="minorHAnsi"/>
        </w:rPr>
      </w:pPr>
      <w:r>
        <w:rPr>
          <w:rFonts w:cstheme="minorHAnsi"/>
        </w:rPr>
        <w:t xml:space="preserve">The College also looks to diversify using </w:t>
      </w:r>
      <w:r w:rsidRPr="00AB0063">
        <w:rPr>
          <w:rFonts w:cstheme="minorHAnsi"/>
        </w:rPr>
        <w:t>advertising media, including the use of specialist media to address difficult to recruit areas including STEM (science technology, engineering &amp; maths) subjects and business development roles.</w:t>
      </w:r>
    </w:p>
    <w:p w:rsidR="00230857" w:rsidRDefault="00230857" w:rsidP="00230857">
      <w:pPr>
        <w:shd w:val="clear" w:color="auto" w:fill="FFFFFF" w:themeFill="background1"/>
        <w:rPr>
          <w:rFonts w:cstheme="minorHAnsi"/>
        </w:rPr>
      </w:pPr>
      <w:r w:rsidRPr="00AB0063">
        <w:rPr>
          <w:rFonts w:cstheme="minorHAnsi"/>
        </w:rPr>
        <w:t xml:space="preserve">The College </w:t>
      </w:r>
      <w:r>
        <w:rPr>
          <w:rFonts w:cstheme="minorHAnsi"/>
        </w:rPr>
        <w:t xml:space="preserve">also </w:t>
      </w:r>
      <w:r w:rsidRPr="00AB0063">
        <w:rPr>
          <w:rFonts w:cstheme="minorHAnsi"/>
        </w:rPr>
        <w:t>continues to seek more opportunities to increase quality candidates</w:t>
      </w:r>
      <w:r>
        <w:rPr>
          <w:rFonts w:cstheme="minorHAnsi"/>
        </w:rPr>
        <w:t xml:space="preserve">, </w:t>
      </w:r>
      <w:r w:rsidRPr="00AB0063">
        <w:rPr>
          <w:rFonts w:cstheme="minorHAnsi"/>
        </w:rPr>
        <w:t xml:space="preserve"> including CV only recruitment (further candidate details are taken at the conditional offer</w:t>
      </w:r>
      <w:r w:rsidR="00E50BAC">
        <w:rPr>
          <w:rFonts w:cstheme="minorHAnsi"/>
        </w:rPr>
        <w:t xml:space="preserve"> stage)</w:t>
      </w:r>
      <w:r w:rsidR="004455C3">
        <w:rPr>
          <w:rFonts w:cstheme="minorHAnsi"/>
        </w:rPr>
        <w:t>,</w:t>
      </w:r>
      <w:r w:rsidR="00E50BAC">
        <w:rPr>
          <w:rFonts w:cstheme="minorHAnsi"/>
        </w:rPr>
        <w:t xml:space="preserve"> increased graduate and i</w:t>
      </w:r>
      <w:r w:rsidRPr="00AB0063">
        <w:rPr>
          <w:rFonts w:cstheme="minorHAnsi"/>
        </w:rPr>
        <w:t>ntern opportunities, targeted recruitment events and also advertising within a number of disability related media, such as ‘Living with Disability</w:t>
      </w:r>
      <w:r>
        <w:rPr>
          <w:rFonts w:cstheme="minorHAnsi"/>
        </w:rPr>
        <w:t>’, ‘Disability Review</w:t>
      </w:r>
      <w:r w:rsidRPr="00AB0063">
        <w:rPr>
          <w:rFonts w:cstheme="minorHAnsi"/>
        </w:rPr>
        <w:t xml:space="preserve"> </w:t>
      </w:r>
      <w:r>
        <w:rPr>
          <w:rFonts w:cstheme="minorHAnsi"/>
        </w:rPr>
        <w:t>‘</w:t>
      </w:r>
      <w:r w:rsidRPr="00AB0063">
        <w:rPr>
          <w:rFonts w:cstheme="minorHAnsi"/>
        </w:rPr>
        <w:t xml:space="preserve">and ‘Disabled-Go’. </w:t>
      </w:r>
    </w:p>
    <w:p w:rsidR="00230857" w:rsidRDefault="00230857" w:rsidP="00230857">
      <w:pPr>
        <w:shd w:val="clear" w:color="auto" w:fill="FFFFFF" w:themeFill="background1"/>
        <w:rPr>
          <w:rFonts w:cstheme="minorHAnsi"/>
        </w:rPr>
      </w:pPr>
      <w:r w:rsidRPr="00AB0063">
        <w:rPr>
          <w:rFonts w:cstheme="minorHAnsi"/>
        </w:rPr>
        <w:t>This diverse approach enables the College to attract staff from around the UK while also maintaining its connection with our local community.</w:t>
      </w:r>
    </w:p>
    <w:p w:rsidR="00246DDF" w:rsidRDefault="00246DDF" w:rsidP="00230857">
      <w:pPr>
        <w:shd w:val="clear" w:color="auto" w:fill="FFFFFF" w:themeFill="background1"/>
        <w:rPr>
          <w:rFonts w:cstheme="minorHAnsi"/>
        </w:rPr>
      </w:pPr>
    </w:p>
    <w:p w:rsidR="00246DDF" w:rsidRDefault="00246DDF" w:rsidP="00230857">
      <w:pPr>
        <w:shd w:val="clear" w:color="auto" w:fill="FFFFFF" w:themeFill="background1"/>
        <w:rPr>
          <w:rFonts w:cstheme="minorHAnsi"/>
        </w:rPr>
      </w:pPr>
    </w:p>
    <w:p w:rsidR="00246DDF" w:rsidRDefault="00246DDF" w:rsidP="00230857">
      <w:pPr>
        <w:shd w:val="clear" w:color="auto" w:fill="FFFFFF" w:themeFill="background1"/>
        <w:rPr>
          <w:rFonts w:cstheme="minorHAnsi"/>
        </w:rPr>
      </w:pPr>
    </w:p>
    <w:p w:rsidR="00517C92" w:rsidRPr="00A03B7C" w:rsidRDefault="00A56E40" w:rsidP="00A56E40">
      <w:pPr>
        <w:pStyle w:val="ListParagraph"/>
        <w:numPr>
          <w:ilvl w:val="0"/>
          <w:numId w:val="2"/>
        </w:numPr>
        <w:ind w:hanging="720"/>
        <w:rPr>
          <w:b/>
          <w:noProof/>
          <w:u w:val="single"/>
          <w:lang w:eastAsia="en-GB"/>
        </w:rPr>
      </w:pPr>
      <w:r w:rsidRPr="00A03B7C">
        <w:rPr>
          <w:b/>
          <w:noProof/>
          <w:u w:val="single"/>
          <w:lang w:eastAsia="en-GB"/>
        </w:rPr>
        <w:lastRenderedPageBreak/>
        <w:t>Employee Relations EDI Data</w:t>
      </w:r>
    </w:p>
    <w:p w:rsidR="00B33CA2" w:rsidRDefault="00B33CA2" w:rsidP="00B33CA2">
      <w:pPr>
        <w:rPr>
          <w:noProof/>
          <w:lang w:eastAsia="en-GB"/>
        </w:rPr>
      </w:pPr>
      <w:r>
        <w:rPr>
          <w:noProof/>
          <w:lang w:eastAsia="en-GB"/>
        </w:rPr>
        <w:t>In 2017</w:t>
      </w:r>
      <w:r w:rsidR="00E8086A">
        <w:rPr>
          <w:noProof/>
          <w:lang w:eastAsia="en-GB"/>
        </w:rPr>
        <w:t>/</w:t>
      </w:r>
      <w:r>
        <w:rPr>
          <w:noProof/>
          <w:lang w:eastAsia="en-GB"/>
        </w:rPr>
        <w:t>18, HR supported managers in of 7</w:t>
      </w:r>
      <w:r w:rsidR="00A03B7C">
        <w:rPr>
          <w:noProof/>
          <w:lang w:eastAsia="en-GB"/>
        </w:rPr>
        <w:t>6</w:t>
      </w:r>
      <w:r>
        <w:rPr>
          <w:noProof/>
          <w:lang w:eastAsia="en-GB"/>
        </w:rPr>
        <w:t xml:space="preserve"> (109 in 2016/17) cases of disciplinary, grievance, capability (medical and performance) and probationary review procedures, with outcomes ranging from ‘no case to answer’ to dismissal (and in some cases appeal leading to Employment Tribunal or County Court proceedings). The following provides a brief ED</w:t>
      </w:r>
      <w:r w:rsidR="00DB671D">
        <w:rPr>
          <w:noProof/>
          <w:lang w:eastAsia="en-GB"/>
        </w:rPr>
        <w:t>I</w:t>
      </w:r>
      <w:r>
        <w:rPr>
          <w:noProof/>
          <w:lang w:eastAsia="en-GB"/>
        </w:rPr>
        <w:t xml:space="preserve"> analysis of those staff subject to these </w:t>
      </w:r>
      <w:r w:rsidR="00DB671D">
        <w:rPr>
          <w:noProof/>
          <w:lang w:eastAsia="en-GB"/>
        </w:rPr>
        <w:t>policies, procedures and practices</w:t>
      </w:r>
      <w:r>
        <w:rPr>
          <w:noProof/>
          <w:lang w:eastAsia="en-GB"/>
        </w:rPr>
        <w:t>.</w:t>
      </w:r>
    </w:p>
    <w:p w:rsidR="00A03B7C" w:rsidRPr="0045204F" w:rsidRDefault="00A03B7C" w:rsidP="00A03B7C">
      <w:pPr>
        <w:rPr>
          <w:rFonts w:eastAsiaTheme="minorEastAsia" w:cstheme="minorHAnsi"/>
          <w:b/>
          <w:lang w:eastAsia="en-GB"/>
        </w:rPr>
      </w:pPr>
      <w:r w:rsidRPr="0086242F">
        <w:rPr>
          <w:rFonts w:eastAsiaTheme="minorEastAsia" w:cstheme="minorHAnsi"/>
          <w:b/>
          <w:u w:val="single"/>
          <w:lang w:eastAsia="en-GB"/>
        </w:rPr>
        <w:t>Employee Relations Age Profiling</w:t>
      </w:r>
    </w:p>
    <w:tbl>
      <w:tblPr>
        <w:tblStyle w:val="TableGrid1"/>
        <w:tblW w:w="0" w:type="auto"/>
        <w:tblLook w:val="04A0" w:firstRow="1" w:lastRow="0" w:firstColumn="1" w:lastColumn="0" w:noHBand="0" w:noVBand="1"/>
      </w:tblPr>
      <w:tblGrid>
        <w:gridCol w:w="2233"/>
        <w:gridCol w:w="1731"/>
        <w:gridCol w:w="1701"/>
        <w:gridCol w:w="1418"/>
        <w:gridCol w:w="1418"/>
      </w:tblGrid>
      <w:tr w:rsidR="00DB671D" w:rsidRPr="0018099D" w:rsidTr="00DB671D">
        <w:trPr>
          <w:trHeight w:val="358"/>
        </w:trPr>
        <w:tc>
          <w:tcPr>
            <w:tcW w:w="2233" w:type="dxa"/>
            <w:shd w:val="clear" w:color="auto" w:fill="95B3D7" w:themeFill="accent1" w:themeFillTint="99"/>
          </w:tcPr>
          <w:p w:rsidR="00DB671D" w:rsidRPr="0018099D" w:rsidRDefault="00DB671D" w:rsidP="00DB671D">
            <w:pPr>
              <w:spacing w:before="240" w:after="240"/>
              <w:jc w:val="center"/>
              <w:rPr>
                <w:rFonts w:cstheme="minorHAnsi"/>
                <w:b/>
                <w:color w:val="FFFFFF" w:themeColor="background1"/>
                <w:lang w:eastAsia="en-GB"/>
              </w:rPr>
            </w:pPr>
            <w:r w:rsidRPr="0018099D">
              <w:rPr>
                <w:rFonts w:cstheme="minorHAnsi"/>
                <w:b/>
                <w:color w:val="FFFFFF" w:themeColor="background1"/>
                <w:lang w:eastAsia="en-GB"/>
              </w:rPr>
              <w:t>Age Band</w:t>
            </w:r>
          </w:p>
        </w:tc>
        <w:tc>
          <w:tcPr>
            <w:tcW w:w="1731" w:type="dxa"/>
            <w:shd w:val="clear" w:color="auto" w:fill="95B3D7" w:themeFill="accent1" w:themeFillTint="99"/>
          </w:tcPr>
          <w:p w:rsidR="00DB671D" w:rsidRPr="0018099D" w:rsidRDefault="00DB671D" w:rsidP="00425990">
            <w:pPr>
              <w:spacing w:before="240" w:after="240"/>
              <w:jc w:val="center"/>
              <w:rPr>
                <w:rFonts w:cstheme="minorHAnsi"/>
                <w:b/>
                <w:color w:val="FFFFFF" w:themeColor="background1"/>
                <w:lang w:eastAsia="en-GB"/>
              </w:rPr>
            </w:pPr>
            <w:r w:rsidRPr="0018099D">
              <w:rPr>
                <w:rFonts w:cstheme="minorHAnsi"/>
                <w:b/>
                <w:color w:val="FFFFFF" w:themeColor="background1"/>
                <w:lang w:eastAsia="en-GB"/>
              </w:rPr>
              <w:t>2015</w:t>
            </w:r>
            <w:r w:rsidR="00425990">
              <w:rPr>
                <w:rFonts w:cstheme="minorHAnsi"/>
                <w:b/>
                <w:color w:val="FFFFFF" w:themeColor="background1"/>
                <w:lang w:eastAsia="en-GB"/>
              </w:rPr>
              <w:t>-</w:t>
            </w:r>
            <w:r w:rsidRPr="0018099D">
              <w:rPr>
                <w:rFonts w:cstheme="minorHAnsi"/>
                <w:b/>
                <w:color w:val="FFFFFF" w:themeColor="background1"/>
                <w:lang w:eastAsia="en-GB"/>
              </w:rPr>
              <w:t>16</w:t>
            </w:r>
          </w:p>
        </w:tc>
        <w:tc>
          <w:tcPr>
            <w:tcW w:w="1701" w:type="dxa"/>
            <w:tcBorders>
              <w:right w:val="single" w:sz="4" w:space="0" w:color="auto"/>
            </w:tcBorders>
            <w:shd w:val="clear" w:color="auto" w:fill="95B3D7" w:themeFill="accent1" w:themeFillTint="99"/>
          </w:tcPr>
          <w:p w:rsidR="00DB671D" w:rsidRPr="0018099D" w:rsidRDefault="00DB671D" w:rsidP="00425990">
            <w:pPr>
              <w:spacing w:before="240" w:after="240"/>
              <w:jc w:val="center"/>
              <w:rPr>
                <w:rFonts w:cstheme="minorHAnsi"/>
                <w:b/>
                <w:color w:val="FFFFFF" w:themeColor="background1"/>
                <w:lang w:eastAsia="en-GB"/>
              </w:rPr>
            </w:pPr>
            <w:r>
              <w:rPr>
                <w:rFonts w:cstheme="minorHAnsi"/>
                <w:b/>
                <w:color w:val="FFFFFF" w:themeColor="background1"/>
                <w:lang w:eastAsia="en-GB"/>
              </w:rPr>
              <w:t>2016</w:t>
            </w:r>
            <w:r w:rsidR="00425990">
              <w:rPr>
                <w:rFonts w:cstheme="minorHAnsi"/>
                <w:b/>
                <w:color w:val="FFFFFF" w:themeColor="background1"/>
                <w:lang w:eastAsia="en-GB"/>
              </w:rPr>
              <w:t>-</w:t>
            </w:r>
            <w:r>
              <w:rPr>
                <w:rFonts w:cstheme="minorHAnsi"/>
                <w:b/>
                <w:color w:val="FFFFFF" w:themeColor="background1"/>
                <w:lang w:eastAsia="en-GB"/>
              </w:rPr>
              <w:t>17</w:t>
            </w:r>
          </w:p>
        </w:tc>
        <w:tc>
          <w:tcPr>
            <w:tcW w:w="1418"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DB671D" w:rsidRDefault="00DB671D" w:rsidP="00DB671D">
            <w:pPr>
              <w:spacing w:before="240" w:after="240"/>
              <w:jc w:val="center"/>
              <w:rPr>
                <w:rFonts w:cstheme="minorHAnsi"/>
                <w:b/>
                <w:color w:val="FFFFFF" w:themeColor="background1"/>
                <w:lang w:eastAsia="en-GB"/>
              </w:rPr>
            </w:pPr>
            <w:r>
              <w:rPr>
                <w:rFonts w:cstheme="minorHAnsi"/>
                <w:b/>
                <w:color w:val="FFFFFF" w:themeColor="background1"/>
                <w:lang w:eastAsia="en-GB"/>
              </w:rPr>
              <w:t>2</w:t>
            </w:r>
            <w:r w:rsidR="00425990">
              <w:rPr>
                <w:rFonts w:cstheme="minorHAnsi"/>
                <w:b/>
                <w:color w:val="FFFFFF" w:themeColor="background1"/>
                <w:lang w:eastAsia="en-GB"/>
              </w:rPr>
              <w:t>017-</w:t>
            </w:r>
            <w:r>
              <w:rPr>
                <w:rFonts w:cstheme="minorHAnsi"/>
                <w:b/>
                <w:color w:val="FFFFFF" w:themeColor="background1"/>
                <w:lang w:eastAsia="en-GB"/>
              </w:rPr>
              <w:t>18</w:t>
            </w:r>
          </w:p>
        </w:tc>
        <w:tc>
          <w:tcPr>
            <w:tcW w:w="141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DB671D" w:rsidRDefault="00DB671D" w:rsidP="00DB671D">
            <w:pPr>
              <w:jc w:val="center"/>
              <w:rPr>
                <w:rFonts w:ascii="Calibri" w:hAnsi="Calibri"/>
                <w:color w:val="000000"/>
              </w:rPr>
            </w:pPr>
            <w:r w:rsidRPr="00DB671D">
              <w:rPr>
                <w:rFonts w:ascii="Calibri" w:hAnsi="Calibri"/>
                <w:color w:val="FFFFFF" w:themeColor="background1"/>
              </w:rPr>
              <w:t>CCG Staff 2017-18</w:t>
            </w:r>
          </w:p>
        </w:tc>
      </w:tr>
      <w:tr w:rsidR="00DB671D" w:rsidRPr="0045204F" w:rsidTr="00341605">
        <w:tc>
          <w:tcPr>
            <w:tcW w:w="2233" w:type="dxa"/>
          </w:tcPr>
          <w:p w:rsidR="00DB671D" w:rsidRPr="0045204F" w:rsidRDefault="00DB671D" w:rsidP="00DB671D">
            <w:pPr>
              <w:jc w:val="center"/>
              <w:rPr>
                <w:rFonts w:cstheme="minorHAnsi"/>
                <w:b/>
                <w:lang w:eastAsia="en-GB"/>
              </w:rPr>
            </w:pPr>
            <w:r w:rsidRPr="0045204F">
              <w:rPr>
                <w:rFonts w:cstheme="minorHAnsi"/>
                <w:b/>
                <w:lang w:eastAsia="en-GB"/>
              </w:rPr>
              <w:t>16-24</w:t>
            </w:r>
          </w:p>
        </w:tc>
        <w:tc>
          <w:tcPr>
            <w:tcW w:w="1731" w:type="dxa"/>
            <w:vAlign w:val="bottom"/>
          </w:tcPr>
          <w:p w:rsidR="00DB671D" w:rsidRPr="0045204F" w:rsidRDefault="00DB671D" w:rsidP="00DB671D">
            <w:pPr>
              <w:jc w:val="center"/>
              <w:rPr>
                <w:rFonts w:ascii="Calibri" w:hAnsi="Calibri" w:cs="Calibri"/>
                <w:color w:val="000000"/>
              </w:rPr>
            </w:pPr>
            <w:r w:rsidRPr="0045204F">
              <w:rPr>
                <w:rFonts w:ascii="Calibri" w:hAnsi="Calibri" w:cs="Calibri"/>
                <w:color w:val="000000"/>
              </w:rPr>
              <w:t>21.8%</w:t>
            </w:r>
          </w:p>
        </w:tc>
        <w:tc>
          <w:tcPr>
            <w:tcW w:w="1701" w:type="dxa"/>
            <w:vAlign w:val="center"/>
          </w:tcPr>
          <w:p w:rsidR="00DB671D" w:rsidRPr="006002B3" w:rsidRDefault="00DB671D" w:rsidP="00DB671D">
            <w:pPr>
              <w:jc w:val="center"/>
              <w:rPr>
                <w:rFonts w:ascii="Calibri" w:hAnsi="Calibri" w:cs="Calibri"/>
                <w:bCs/>
                <w:color w:val="000000"/>
                <w:lang w:eastAsia="en-GB"/>
              </w:rPr>
            </w:pPr>
            <w:r w:rsidRPr="006002B3">
              <w:rPr>
                <w:bCs/>
                <w:color w:val="000000"/>
                <w:lang w:eastAsia="en-GB"/>
              </w:rPr>
              <w:t>15.6%</w:t>
            </w:r>
          </w:p>
        </w:tc>
        <w:tc>
          <w:tcPr>
            <w:tcW w:w="1418" w:type="dxa"/>
            <w:tcBorders>
              <w:top w:val="single" w:sz="4" w:space="0" w:color="auto"/>
            </w:tcBorders>
          </w:tcPr>
          <w:p w:rsidR="00DB671D" w:rsidRPr="006002B3" w:rsidRDefault="00DB671D" w:rsidP="00DB671D">
            <w:pPr>
              <w:jc w:val="center"/>
              <w:rPr>
                <w:bCs/>
                <w:color w:val="000000"/>
                <w:lang w:eastAsia="en-GB"/>
              </w:rPr>
            </w:pPr>
            <w:r>
              <w:rPr>
                <w:bCs/>
                <w:color w:val="000000"/>
                <w:lang w:eastAsia="en-GB"/>
              </w:rPr>
              <w:t>6.5%</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DB671D" w:rsidRDefault="00DB671D" w:rsidP="00DB671D">
            <w:pPr>
              <w:jc w:val="center"/>
              <w:rPr>
                <w:rFonts w:ascii="Calibri" w:hAnsi="Calibri" w:cs="Calibri"/>
                <w:color w:val="000000"/>
              </w:rPr>
            </w:pPr>
            <w:r>
              <w:rPr>
                <w:rFonts w:ascii="Calibri" w:hAnsi="Calibri" w:cs="Calibri"/>
                <w:color w:val="000000"/>
              </w:rPr>
              <w:t>6.2%</w:t>
            </w:r>
          </w:p>
        </w:tc>
      </w:tr>
      <w:tr w:rsidR="00DB671D" w:rsidRPr="0045204F" w:rsidTr="00341605">
        <w:tc>
          <w:tcPr>
            <w:tcW w:w="2233" w:type="dxa"/>
          </w:tcPr>
          <w:p w:rsidR="00DB671D" w:rsidRPr="0045204F" w:rsidRDefault="00DB671D" w:rsidP="00DB671D">
            <w:pPr>
              <w:jc w:val="center"/>
              <w:rPr>
                <w:rFonts w:cstheme="minorHAnsi"/>
                <w:b/>
                <w:lang w:eastAsia="en-GB"/>
              </w:rPr>
            </w:pPr>
            <w:r w:rsidRPr="0045204F">
              <w:rPr>
                <w:rFonts w:cstheme="minorHAnsi"/>
                <w:b/>
                <w:lang w:eastAsia="en-GB"/>
              </w:rPr>
              <w:t>25-29</w:t>
            </w:r>
          </w:p>
        </w:tc>
        <w:tc>
          <w:tcPr>
            <w:tcW w:w="1731" w:type="dxa"/>
            <w:vAlign w:val="bottom"/>
          </w:tcPr>
          <w:p w:rsidR="00DB671D" w:rsidRPr="0045204F" w:rsidRDefault="00DB671D" w:rsidP="00DB671D">
            <w:pPr>
              <w:jc w:val="center"/>
              <w:rPr>
                <w:rFonts w:ascii="Calibri" w:hAnsi="Calibri" w:cs="Calibri"/>
                <w:color w:val="000000"/>
              </w:rPr>
            </w:pPr>
            <w:r w:rsidRPr="0045204F">
              <w:rPr>
                <w:rFonts w:ascii="Calibri" w:hAnsi="Calibri" w:cs="Calibri"/>
                <w:color w:val="000000"/>
              </w:rPr>
              <w:t>5.7%</w:t>
            </w:r>
          </w:p>
        </w:tc>
        <w:tc>
          <w:tcPr>
            <w:tcW w:w="1701" w:type="dxa"/>
            <w:vAlign w:val="center"/>
          </w:tcPr>
          <w:p w:rsidR="00DB671D" w:rsidRPr="006002B3" w:rsidRDefault="00DB671D" w:rsidP="00DB671D">
            <w:pPr>
              <w:jc w:val="center"/>
              <w:rPr>
                <w:rFonts w:ascii="Calibri" w:hAnsi="Calibri" w:cs="Calibri"/>
                <w:bCs/>
                <w:color w:val="000000"/>
                <w:lang w:eastAsia="en-GB"/>
              </w:rPr>
            </w:pPr>
            <w:r w:rsidRPr="006002B3">
              <w:rPr>
                <w:bCs/>
                <w:color w:val="000000"/>
                <w:lang w:eastAsia="en-GB"/>
              </w:rPr>
              <w:t>5.5%</w:t>
            </w:r>
          </w:p>
        </w:tc>
        <w:tc>
          <w:tcPr>
            <w:tcW w:w="1418" w:type="dxa"/>
          </w:tcPr>
          <w:p w:rsidR="00DB671D" w:rsidRPr="006002B3" w:rsidRDefault="00DB671D" w:rsidP="00DB671D">
            <w:pPr>
              <w:jc w:val="center"/>
              <w:rPr>
                <w:bCs/>
                <w:color w:val="000000"/>
                <w:lang w:eastAsia="en-GB"/>
              </w:rPr>
            </w:pPr>
            <w:r>
              <w:rPr>
                <w:bCs/>
                <w:color w:val="000000"/>
                <w:lang w:eastAsia="en-GB"/>
              </w:rPr>
              <w:t>7.9%</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DB671D" w:rsidRDefault="00DB671D" w:rsidP="00DB671D">
            <w:pPr>
              <w:jc w:val="center"/>
              <w:rPr>
                <w:rFonts w:ascii="Calibri" w:hAnsi="Calibri" w:cs="Calibri"/>
                <w:color w:val="000000"/>
              </w:rPr>
            </w:pPr>
            <w:r>
              <w:rPr>
                <w:rFonts w:ascii="Calibri" w:hAnsi="Calibri" w:cs="Calibri"/>
                <w:color w:val="000000"/>
              </w:rPr>
              <w:t>9.2%</w:t>
            </w:r>
          </w:p>
        </w:tc>
      </w:tr>
      <w:tr w:rsidR="00DB671D" w:rsidRPr="0045204F" w:rsidTr="00341605">
        <w:tc>
          <w:tcPr>
            <w:tcW w:w="2233" w:type="dxa"/>
          </w:tcPr>
          <w:p w:rsidR="00DB671D" w:rsidRPr="0045204F" w:rsidRDefault="00DB671D" w:rsidP="00DB671D">
            <w:pPr>
              <w:jc w:val="center"/>
              <w:rPr>
                <w:rFonts w:cstheme="minorHAnsi"/>
                <w:b/>
                <w:lang w:eastAsia="en-GB"/>
              </w:rPr>
            </w:pPr>
            <w:r w:rsidRPr="0045204F">
              <w:rPr>
                <w:rFonts w:cstheme="minorHAnsi"/>
                <w:b/>
                <w:lang w:eastAsia="en-GB"/>
              </w:rPr>
              <w:t>30-34</w:t>
            </w:r>
          </w:p>
        </w:tc>
        <w:tc>
          <w:tcPr>
            <w:tcW w:w="1731" w:type="dxa"/>
            <w:vAlign w:val="bottom"/>
          </w:tcPr>
          <w:p w:rsidR="00DB671D" w:rsidRPr="0045204F" w:rsidRDefault="00DB671D" w:rsidP="00DB671D">
            <w:pPr>
              <w:jc w:val="center"/>
              <w:rPr>
                <w:rFonts w:ascii="Calibri" w:hAnsi="Calibri" w:cs="Calibri"/>
                <w:color w:val="000000"/>
              </w:rPr>
            </w:pPr>
            <w:r w:rsidRPr="0045204F">
              <w:rPr>
                <w:rFonts w:ascii="Calibri" w:hAnsi="Calibri" w:cs="Calibri"/>
                <w:color w:val="000000"/>
              </w:rPr>
              <w:t>10.3%</w:t>
            </w:r>
          </w:p>
        </w:tc>
        <w:tc>
          <w:tcPr>
            <w:tcW w:w="1701" w:type="dxa"/>
            <w:vAlign w:val="center"/>
          </w:tcPr>
          <w:p w:rsidR="00DB671D" w:rsidRPr="006002B3" w:rsidRDefault="00DB671D" w:rsidP="00DB671D">
            <w:pPr>
              <w:jc w:val="center"/>
              <w:rPr>
                <w:rFonts w:ascii="Calibri" w:hAnsi="Calibri" w:cs="Calibri"/>
                <w:bCs/>
                <w:color w:val="000000"/>
                <w:lang w:eastAsia="en-GB"/>
              </w:rPr>
            </w:pPr>
            <w:r w:rsidRPr="006002B3">
              <w:rPr>
                <w:bCs/>
                <w:color w:val="000000"/>
                <w:lang w:eastAsia="en-GB"/>
              </w:rPr>
              <w:t>12.8%</w:t>
            </w:r>
          </w:p>
        </w:tc>
        <w:tc>
          <w:tcPr>
            <w:tcW w:w="1418" w:type="dxa"/>
          </w:tcPr>
          <w:p w:rsidR="00DB671D" w:rsidRPr="006002B3" w:rsidRDefault="00DB671D" w:rsidP="00DB671D">
            <w:pPr>
              <w:jc w:val="center"/>
              <w:rPr>
                <w:bCs/>
                <w:color w:val="000000"/>
                <w:lang w:eastAsia="en-GB"/>
              </w:rPr>
            </w:pPr>
            <w:r>
              <w:rPr>
                <w:bCs/>
                <w:color w:val="000000"/>
                <w:lang w:eastAsia="en-GB"/>
              </w:rPr>
              <w:t>5.3%</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DB671D" w:rsidRDefault="00DB671D" w:rsidP="00DB671D">
            <w:pPr>
              <w:jc w:val="center"/>
              <w:rPr>
                <w:rFonts w:ascii="Calibri" w:hAnsi="Calibri" w:cs="Calibri"/>
                <w:color w:val="000000"/>
              </w:rPr>
            </w:pPr>
            <w:r>
              <w:rPr>
                <w:rFonts w:ascii="Calibri" w:hAnsi="Calibri" w:cs="Calibri"/>
                <w:color w:val="000000"/>
              </w:rPr>
              <w:t>8.6%</w:t>
            </w:r>
          </w:p>
        </w:tc>
      </w:tr>
      <w:tr w:rsidR="00DB671D" w:rsidRPr="0045204F" w:rsidTr="00341605">
        <w:tc>
          <w:tcPr>
            <w:tcW w:w="2233" w:type="dxa"/>
          </w:tcPr>
          <w:p w:rsidR="00DB671D" w:rsidRPr="0045204F" w:rsidRDefault="00DB671D" w:rsidP="00DB671D">
            <w:pPr>
              <w:jc w:val="center"/>
              <w:rPr>
                <w:rFonts w:cstheme="minorHAnsi"/>
                <w:b/>
                <w:lang w:eastAsia="en-GB"/>
              </w:rPr>
            </w:pPr>
            <w:r w:rsidRPr="0045204F">
              <w:rPr>
                <w:rFonts w:cstheme="minorHAnsi"/>
                <w:b/>
                <w:lang w:eastAsia="en-GB"/>
              </w:rPr>
              <w:t>35-39</w:t>
            </w:r>
          </w:p>
        </w:tc>
        <w:tc>
          <w:tcPr>
            <w:tcW w:w="1731" w:type="dxa"/>
            <w:vAlign w:val="bottom"/>
          </w:tcPr>
          <w:p w:rsidR="00DB671D" w:rsidRPr="0045204F" w:rsidRDefault="00DB671D" w:rsidP="00DB671D">
            <w:pPr>
              <w:jc w:val="center"/>
              <w:rPr>
                <w:rFonts w:ascii="Calibri" w:hAnsi="Calibri" w:cs="Calibri"/>
                <w:color w:val="000000"/>
              </w:rPr>
            </w:pPr>
            <w:r w:rsidRPr="0045204F">
              <w:rPr>
                <w:rFonts w:ascii="Calibri" w:hAnsi="Calibri" w:cs="Calibri"/>
                <w:color w:val="000000"/>
              </w:rPr>
              <w:t>5.7%</w:t>
            </w:r>
          </w:p>
        </w:tc>
        <w:tc>
          <w:tcPr>
            <w:tcW w:w="1701" w:type="dxa"/>
            <w:vAlign w:val="center"/>
          </w:tcPr>
          <w:p w:rsidR="00DB671D" w:rsidRPr="006002B3" w:rsidRDefault="00DB671D" w:rsidP="00DB671D">
            <w:pPr>
              <w:jc w:val="center"/>
              <w:rPr>
                <w:rFonts w:ascii="Calibri" w:hAnsi="Calibri" w:cs="Calibri"/>
                <w:bCs/>
                <w:color w:val="000000"/>
                <w:lang w:eastAsia="en-GB"/>
              </w:rPr>
            </w:pPr>
            <w:r w:rsidRPr="006002B3">
              <w:rPr>
                <w:bCs/>
                <w:color w:val="000000"/>
                <w:lang w:eastAsia="en-GB"/>
              </w:rPr>
              <w:t>5.5%</w:t>
            </w:r>
          </w:p>
        </w:tc>
        <w:tc>
          <w:tcPr>
            <w:tcW w:w="1418" w:type="dxa"/>
          </w:tcPr>
          <w:p w:rsidR="00DB671D" w:rsidRPr="006002B3" w:rsidRDefault="00DB671D" w:rsidP="00DB671D">
            <w:pPr>
              <w:jc w:val="center"/>
              <w:rPr>
                <w:bCs/>
                <w:color w:val="000000"/>
                <w:lang w:eastAsia="en-GB"/>
              </w:rPr>
            </w:pPr>
            <w:r>
              <w:rPr>
                <w:bCs/>
                <w:color w:val="000000"/>
                <w:lang w:eastAsia="en-GB"/>
              </w:rPr>
              <w:t>3.9%</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DB671D" w:rsidRDefault="00DB671D" w:rsidP="00DB671D">
            <w:pPr>
              <w:jc w:val="center"/>
              <w:rPr>
                <w:rFonts w:ascii="Calibri" w:hAnsi="Calibri" w:cs="Calibri"/>
                <w:color w:val="000000"/>
              </w:rPr>
            </w:pPr>
            <w:r>
              <w:rPr>
                <w:rFonts w:ascii="Calibri" w:hAnsi="Calibri" w:cs="Calibri"/>
                <w:color w:val="000000"/>
              </w:rPr>
              <w:t>12.2%</w:t>
            </w:r>
          </w:p>
        </w:tc>
      </w:tr>
      <w:tr w:rsidR="00DB671D" w:rsidRPr="0045204F" w:rsidTr="00341605">
        <w:tc>
          <w:tcPr>
            <w:tcW w:w="2233" w:type="dxa"/>
          </w:tcPr>
          <w:p w:rsidR="00DB671D" w:rsidRPr="0045204F" w:rsidRDefault="00DB671D" w:rsidP="00DB671D">
            <w:pPr>
              <w:jc w:val="center"/>
              <w:rPr>
                <w:rFonts w:cstheme="minorHAnsi"/>
                <w:b/>
                <w:lang w:eastAsia="en-GB"/>
              </w:rPr>
            </w:pPr>
            <w:r w:rsidRPr="0045204F">
              <w:rPr>
                <w:rFonts w:cstheme="minorHAnsi"/>
                <w:b/>
                <w:lang w:eastAsia="en-GB"/>
              </w:rPr>
              <w:t>40-44</w:t>
            </w:r>
          </w:p>
        </w:tc>
        <w:tc>
          <w:tcPr>
            <w:tcW w:w="1731" w:type="dxa"/>
            <w:vAlign w:val="bottom"/>
          </w:tcPr>
          <w:p w:rsidR="00DB671D" w:rsidRPr="0045204F" w:rsidRDefault="00DB671D" w:rsidP="00DB671D">
            <w:pPr>
              <w:jc w:val="center"/>
              <w:rPr>
                <w:rFonts w:ascii="Calibri" w:hAnsi="Calibri" w:cs="Calibri"/>
                <w:color w:val="000000"/>
              </w:rPr>
            </w:pPr>
            <w:r w:rsidRPr="0045204F">
              <w:rPr>
                <w:rFonts w:ascii="Calibri" w:hAnsi="Calibri" w:cs="Calibri"/>
                <w:color w:val="000000"/>
              </w:rPr>
              <w:t>9.2%</w:t>
            </w:r>
          </w:p>
        </w:tc>
        <w:tc>
          <w:tcPr>
            <w:tcW w:w="1701" w:type="dxa"/>
            <w:vAlign w:val="center"/>
          </w:tcPr>
          <w:p w:rsidR="00DB671D" w:rsidRPr="006002B3" w:rsidRDefault="00DB671D" w:rsidP="00DB671D">
            <w:pPr>
              <w:jc w:val="center"/>
              <w:rPr>
                <w:rFonts w:ascii="Calibri" w:hAnsi="Calibri" w:cs="Calibri"/>
                <w:bCs/>
                <w:color w:val="000000"/>
                <w:lang w:eastAsia="en-GB"/>
              </w:rPr>
            </w:pPr>
            <w:r w:rsidRPr="006002B3">
              <w:rPr>
                <w:bCs/>
                <w:color w:val="000000"/>
                <w:lang w:eastAsia="en-GB"/>
              </w:rPr>
              <w:t>5.5%</w:t>
            </w:r>
          </w:p>
        </w:tc>
        <w:tc>
          <w:tcPr>
            <w:tcW w:w="1418" w:type="dxa"/>
          </w:tcPr>
          <w:p w:rsidR="00DB671D" w:rsidRPr="006002B3" w:rsidRDefault="00DB671D" w:rsidP="00DB671D">
            <w:pPr>
              <w:jc w:val="center"/>
              <w:rPr>
                <w:bCs/>
                <w:color w:val="000000"/>
                <w:lang w:eastAsia="en-GB"/>
              </w:rPr>
            </w:pPr>
            <w:r>
              <w:rPr>
                <w:bCs/>
                <w:color w:val="000000"/>
                <w:lang w:eastAsia="en-GB"/>
              </w:rPr>
              <w:t>13%</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DB671D" w:rsidRDefault="00DB671D" w:rsidP="00DB671D">
            <w:pPr>
              <w:jc w:val="center"/>
              <w:rPr>
                <w:rFonts w:ascii="Calibri" w:hAnsi="Calibri" w:cs="Calibri"/>
                <w:color w:val="000000"/>
              </w:rPr>
            </w:pPr>
            <w:r>
              <w:rPr>
                <w:rFonts w:ascii="Calibri" w:hAnsi="Calibri" w:cs="Calibri"/>
                <w:color w:val="000000"/>
              </w:rPr>
              <w:t>11.7%</w:t>
            </w:r>
          </w:p>
        </w:tc>
      </w:tr>
      <w:tr w:rsidR="00DB671D" w:rsidRPr="0045204F" w:rsidTr="00341605">
        <w:tc>
          <w:tcPr>
            <w:tcW w:w="2233" w:type="dxa"/>
          </w:tcPr>
          <w:p w:rsidR="00DB671D" w:rsidRPr="0045204F" w:rsidRDefault="00DB671D" w:rsidP="00DB671D">
            <w:pPr>
              <w:jc w:val="center"/>
              <w:rPr>
                <w:rFonts w:cstheme="minorHAnsi"/>
                <w:b/>
                <w:lang w:eastAsia="en-GB"/>
              </w:rPr>
            </w:pPr>
            <w:r w:rsidRPr="0045204F">
              <w:rPr>
                <w:rFonts w:cstheme="minorHAnsi"/>
                <w:b/>
                <w:lang w:eastAsia="en-GB"/>
              </w:rPr>
              <w:t>45-49</w:t>
            </w:r>
          </w:p>
        </w:tc>
        <w:tc>
          <w:tcPr>
            <w:tcW w:w="1731" w:type="dxa"/>
            <w:vAlign w:val="bottom"/>
          </w:tcPr>
          <w:p w:rsidR="00DB671D" w:rsidRPr="0045204F" w:rsidRDefault="00DB671D" w:rsidP="00DB671D">
            <w:pPr>
              <w:jc w:val="center"/>
              <w:rPr>
                <w:rFonts w:ascii="Calibri" w:hAnsi="Calibri" w:cs="Calibri"/>
                <w:color w:val="000000"/>
              </w:rPr>
            </w:pPr>
            <w:r w:rsidRPr="0045204F">
              <w:rPr>
                <w:rFonts w:ascii="Calibri" w:hAnsi="Calibri" w:cs="Calibri"/>
                <w:color w:val="000000"/>
              </w:rPr>
              <w:t>6.9%</w:t>
            </w:r>
          </w:p>
        </w:tc>
        <w:tc>
          <w:tcPr>
            <w:tcW w:w="1701" w:type="dxa"/>
            <w:vAlign w:val="center"/>
          </w:tcPr>
          <w:p w:rsidR="00DB671D" w:rsidRPr="006002B3" w:rsidRDefault="00DB671D" w:rsidP="00DB671D">
            <w:pPr>
              <w:jc w:val="center"/>
              <w:rPr>
                <w:rFonts w:ascii="Calibri" w:hAnsi="Calibri" w:cs="Calibri"/>
                <w:bCs/>
                <w:color w:val="000000"/>
                <w:lang w:eastAsia="en-GB"/>
              </w:rPr>
            </w:pPr>
            <w:r w:rsidRPr="006002B3">
              <w:rPr>
                <w:bCs/>
                <w:color w:val="000000"/>
                <w:lang w:eastAsia="en-GB"/>
              </w:rPr>
              <w:t>12.8%</w:t>
            </w:r>
          </w:p>
        </w:tc>
        <w:tc>
          <w:tcPr>
            <w:tcW w:w="1418" w:type="dxa"/>
          </w:tcPr>
          <w:p w:rsidR="00DB671D" w:rsidRPr="006002B3" w:rsidRDefault="00DB671D" w:rsidP="00DB671D">
            <w:pPr>
              <w:jc w:val="center"/>
              <w:rPr>
                <w:bCs/>
                <w:color w:val="000000"/>
                <w:lang w:eastAsia="en-GB"/>
              </w:rPr>
            </w:pPr>
            <w:r>
              <w:rPr>
                <w:bCs/>
                <w:color w:val="000000"/>
                <w:lang w:eastAsia="en-GB"/>
              </w:rPr>
              <w:t>17%</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DB671D" w:rsidRDefault="00DB671D" w:rsidP="00DB671D">
            <w:pPr>
              <w:jc w:val="center"/>
              <w:rPr>
                <w:rFonts w:ascii="Calibri" w:hAnsi="Calibri" w:cs="Calibri"/>
                <w:color w:val="000000"/>
              </w:rPr>
            </w:pPr>
            <w:r>
              <w:rPr>
                <w:rFonts w:ascii="Calibri" w:hAnsi="Calibri" w:cs="Calibri"/>
                <w:color w:val="000000"/>
              </w:rPr>
              <w:t>16.4%</w:t>
            </w:r>
          </w:p>
        </w:tc>
      </w:tr>
      <w:tr w:rsidR="00DB671D" w:rsidRPr="0045204F" w:rsidTr="00341605">
        <w:tc>
          <w:tcPr>
            <w:tcW w:w="2233" w:type="dxa"/>
          </w:tcPr>
          <w:p w:rsidR="00DB671D" w:rsidRPr="0045204F" w:rsidRDefault="00DB671D" w:rsidP="00DB671D">
            <w:pPr>
              <w:jc w:val="center"/>
              <w:rPr>
                <w:rFonts w:cstheme="minorHAnsi"/>
                <w:b/>
                <w:lang w:eastAsia="en-GB"/>
              </w:rPr>
            </w:pPr>
            <w:r w:rsidRPr="0045204F">
              <w:rPr>
                <w:rFonts w:cstheme="minorHAnsi"/>
                <w:b/>
                <w:lang w:eastAsia="en-GB"/>
              </w:rPr>
              <w:t>50-54</w:t>
            </w:r>
          </w:p>
        </w:tc>
        <w:tc>
          <w:tcPr>
            <w:tcW w:w="1731" w:type="dxa"/>
            <w:vAlign w:val="bottom"/>
          </w:tcPr>
          <w:p w:rsidR="00DB671D" w:rsidRPr="0045204F" w:rsidRDefault="00DB671D" w:rsidP="00DB671D">
            <w:pPr>
              <w:jc w:val="center"/>
              <w:rPr>
                <w:rFonts w:ascii="Calibri" w:hAnsi="Calibri" w:cs="Calibri"/>
                <w:color w:val="000000"/>
              </w:rPr>
            </w:pPr>
            <w:r w:rsidRPr="0045204F">
              <w:rPr>
                <w:rFonts w:ascii="Calibri" w:hAnsi="Calibri" w:cs="Calibri"/>
                <w:color w:val="000000"/>
              </w:rPr>
              <w:t>17.2%</w:t>
            </w:r>
          </w:p>
        </w:tc>
        <w:tc>
          <w:tcPr>
            <w:tcW w:w="1701" w:type="dxa"/>
            <w:vAlign w:val="center"/>
          </w:tcPr>
          <w:p w:rsidR="00DB671D" w:rsidRPr="006002B3" w:rsidRDefault="00DB671D" w:rsidP="00DB671D">
            <w:pPr>
              <w:jc w:val="center"/>
              <w:rPr>
                <w:rFonts w:ascii="Calibri" w:hAnsi="Calibri" w:cs="Calibri"/>
                <w:bCs/>
                <w:color w:val="000000"/>
                <w:lang w:eastAsia="en-GB"/>
              </w:rPr>
            </w:pPr>
            <w:r w:rsidRPr="006002B3">
              <w:rPr>
                <w:bCs/>
                <w:color w:val="000000"/>
                <w:lang w:eastAsia="en-GB"/>
              </w:rPr>
              <w:t>19.3%</w:t>
            </w:r>
          </w:p>
        </w:tc>
        <w:tc>
          <w:tcPr>
            <w:tcW w:w="1418" w:type="dxa"/>
          </w:tcPr>
          <w:p w:rsidR="00DB671D" w:rsidRPr="006002B3" w:rsidRDefault="00DB671D" w:rsidP="00DB671D">
            <w:pPr>
              <w:jc w:val="center"/>
              <w:rPr>
                <w:bCs/>
                <w:color w:val="000000"/>
                <w:lang w:eastAsia="en-GB"/>
              </w:rPr>
            </w:pPr>
            <w:r>
              <w:rPr>
                <w:bCs/>
                <w:color w:val="000000"/>
                <w:lang w:eastAsia="en-GB"/>
              </w:rPr>
              <w:t>14.5%</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DB671D" w:rsidRDefault="00DB671D" w:rsidP="00DB671D">
            <w:pPr>
              <w:jc w:val="center"/>
              <w:rPr>
                <w:rFonts w:ascii="Calibri" w:hAnsi="Calibri" w:cs="Calibri"/>
                <w:color w:val="000000"/>
              </w:rPr>
            </w:pPr>
            <w:r>
              <w:rPr>
                <w:rFonts w:ascii="Calibri" w:hAnsi="Calibri" w:cs="Calibri"/>
                <w:color w:val="000000"/>
              </w:rPr>
              <w:t>14.3%</w:t>
            </w:r>
          </w:p>
        </w:tc>
      </w:tr>
      <w:tr w:rsidR="00DB671D" w:rsidRPr="0045204F" w:rsidTr="00341605">
        <w:tc>
          <w:tcPr>
            <w:tcW w:w="2233" w:type="dxa"/>
          </w:tcPr>
          <w:p w:rsidR="00DB671D" w:rsidRPr="0045204F" w:rsidRDefault="00DB671D" w:rsidP="00DB671D">
            <w:pPr>
              <w:jc w:val="center"/>
              <w:rPr>
                <w:rFonts w:cstheme="minorHAnsi"/>
                <w:b/>
                <w:lang w:eastAsia="en-GB"/>
              </w:rPr>
            </w:pPr>
            <w:r w:rsidRPr="0045204F">
              <w:rPr>
                <w:rFonts w:cstheme="minorHAnsi"/>
                <w:b/>
                <w:lang w:eastAsia="en-GB"/>
              </w:rPr>
              <w:t>55-59</w:t>
            </w:r>
          </w:p>
        </w:tc>
        <w:tc>
          <w:tcPr>
            <w:tcW w:w="1731" w:type="dxa"/>
            <w:vAlign w:val="bottom"/>
          </w:tcPr>
          <w:p w:rsidR="00DB671D" w:rsidRPr="0045204F" w:rsidRDefault="00DB671D" w:rsidP="00DB671D">
            <w:pPr>
              <w:jc w:val="center"/>
              <w:rPr>
                <w:rFonts w:ascii="Calibri" w:hAnsi="Calibri" w:cs="Calibri"/>
                <w:color w:val="000000"/>
              </w:rPr>
            </w:pPr>
            <w:r w:rsidRPr="0045204F">
              <w:rPr>
                <w:rFonts w:ascii="Calibri" w:hAnsi="Calibri" w:cs="Calibri"/>
                <w:color w:val="000000"/>
              </w:rPr>
              <w:t>13.8%</w:t>
            </w:r>
          </w:p>
        </w:tc>
        <w:tc>
          <w:tcPr>
            <w:tcW w:w="1701" w:type="dxa"/>
            <w:vAlign w:val="center"/>
          </w:tcPr>
          <w:p w:rsidR="00DB671D" w:rsidRPr="006002B3" w:rsidRDefault="00DB671D" w:rsidP="00DB671D">
            <w:pPr>
              <w:jc w:val="center"/>
              <w:rPr>
                <w:rFonts w:ascii="Calibri" w:hAnsi="Calibri" w:cs="Calibri"/>
                <w:bCs/>
                <w:color w:val="000000"/>
                <w:lang w:eastAsia="en-GB"/>
              </w:rPr>
            </w:pPr>
            <w:r w:rsidRPr="006002B3">
              <w:rPr>
                <w:bCs/>
                <w:color w:val="000000"/>
                <w:lang w:eastAsia="en-GB"/>
              </w:rPr>
              <w:t>12.8%</w:t>
            </w:r>
          </w:p>
        </w:tc>
        <w:tc>
          <w:tcPr>
            <w:tcW w:w="1418" w:type="dxa"/>
          </w:tcPr>
          <w:p w:rsidR="00DB671D" w:rsidRPr="006002B3" w:rsidRDefault="00DB671D" w:rsidP="00DB671D">
            <w:pPr>
              <w:jc w:val="center"/>
              <w:rPr>
                <w:bCs/>
                <w:color w:val="000000"/>
                <w:lang w:eastAsia="en-GB"/>
              </w:rPr>
            </w:pPr>
            <w:r>
              <w:rPr>
                <w:bCs/>
                <w:color w:val="000000"/>
                <w:lang w:eastAsia="en-GB"/>
              </w:rPr>
              <w:t>20%</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DB671D" w:rsidRDefault="00DB671D" w:rsidP="00DB671D">
            <w:pPr>
              <w:jc w:val="center"/>
              <w:rPr>
                <w:rFonts w:ascii="Calibri" w:hAnsi="Calibri" w:cs="Calibri"/>
                <w:color w:val="000000"/>
              </w:rPr>
            </w:pPr>
            <w:r>
              <w:rPr>
                <w:rFonts w:ascii="Calibri" w:hAnsi="Calibri" w:cs="Calibri"/>
                <w:color w:val="000000"/>
              </w:rPr>
              <w:t>12.9%</w:t>
            </w:r>
          </w:p>
        </w:tc>
      </w:tr>
      <w:tr w:rsidR="00DB671D" w:rsidRPr="0045204F" w:rsidTr="00341605">
        <w:tc>
          <w:tcPr>
            <w:tcW w:w="2233" w:type="dxa"/>
          </w:tcPr>
          <w:p w:rsidR="00DB671D" w:rsidRPr="0045204F" w:rsidRDefault="00DB671D" w:rsidP="00DB671D">
            <w:pPr>
              <w:jc w:val="center"/>
              <w:rPr>
                <w:rFonts w:cstheme="minorHAnsi"/>
                <w:b/>
                <w:lang w:eastAsia="en-GB"/>
              </w:rPr>
            </w:pPr>
            <w:r w:rsidRPr="0045204F">
              <w:rPr>
                <w:rFonts w:cstheme="minorHAnsi"/>
                <w:b/>
                <w:lang w:eastAsia="en-GB"/>
              </w:rPr>
              <w:t>60-64</w:t>
            </w:r>
          </w:p>
        </w:tc>
        <w:tc>
          <w:tcPr>
            <w:tcW w:w="1731" w:type="dxa"/>
            <w:vAlign w:val="bottom"/>
          </w:tcPr>
          <w:p w:rsidR="00DB671D" w:rsidRPr="0045204F" w:rsidRDefault="00DB671D" w:rsidP="00DB671D">
            <w:pPr>
              <w:jc w:val="center"/>
              <w:rPr>
                <w:rFonts w:ascii="Calibri" w:hAnsi="Calibri" w:cs="Calibri"/>
                <w:color w:val="000000"/>
              </w:rPr>
            </w:pPr>
            <w:r w:rsidRPr="0045204F">
              <w:rPr>
                <w:rFonts w:ascii="Calibri" w:hAnsi="Calibri" w:cs="Calibri"/>
                <w:color w:val="000000"/>
              </w:rPr>
              <w:t>6.9%</w:t>
            </w:r>
          </w:p>
        </w:tc>
        <w:tc>
          <w:tcPr>
            <w:tcW w:w="1701" w:type="dxa"/>
            <w:vAlign w:val="center"/>
          </w:tcPr>
          <w:p w:rsidR="00DB671D" w:rsidRPr="006002B3" w:rsidRDefault="00DB671D" w:rsidP="00DB671D">
            <w:pPr>
              <w:jc w:val="center"/>
              <w:rPr>
                <w:rFonts w:ascii="Calibri" w:hAnsi="Calibri" w:cs="Calibri"/>
                <w:bCs/>
                <w:color w:val="000000"/>
                <w:lang w:eastAsia="en-GB"/>
              </w:rPr>
            </w:pPr>
            <w:r w:rsidRPr="006002B3">
              <w:rPr>
                <w:bCs/>
                <w:color w:val="000000"/>
                <w:lang w:eastAsia="en-GB"/>
              </w:rPr>
              <w:t>9.2%</w:t>
            </w:r>
          </w:p>
        </w:tc>
        <w:tc>
          <w:tcPr>
            <w:tcW w:w="1418" w:type="dxa"/>
          </w:tcPr>
          <w:p w:rsidR="00DB671D" w:rsidRPr="006002B3" w:rsidRDefault="00DB671D" w:rsidP="00DB671D">
            <w:pPr>
              <w:jc w:val="center"/>
              <w:rPr>
                <w:bCs/>
                <w:color w:val="000000"/>
                <w:lang w:eastAsia="en-GB"/>
              </w:rPr>
            </w:pPr>
            <w:r>
              <w:rPr>
                <w:bCs/>
                <w:color w:val="000000"/>
                <w:lang w:eastAsia="en-GB"/>
              </w:rPr>
              <w:t>10.5%</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DB671D" w:rsidRDefault="00DB671D" w:rsidP="00DB671D">
            <w:pPr>
              <w:jc w:val="center"/>
              <w:rPr>
                <w:rFonts w:ascii="Calibri" w:hAnsi="Calibri" w:cs="Calibri"/>
                <w:color w:val="000000"/>
              </w:rPr>
            </w:pPr>
            <w:r>
              <w:rPr>
                <w:rFonts w:ascii="Calibri" w:hAnsi="Calibri" w:cs="Calibri"/>
                <w:color w:val="000000"/>
              </w:rPr>
              <w:t>6.9%</w:t>
            </w:r>
          </w:p>
        </w:tc>
      </w:tr>
      <w:tr w:rsidR="00DB671D" w:rsidRPr="0045204F" w:rsidTr="00341605">
        <w:tc>
          <w:tcPr>
            <w:tcW w:w="2233" w:type="dxa"/>
          </w:tcPr>
          <w:p w:rsidR="00DB671D" w:rsidRPr="0045204F" w:rsidRDefault="00DB671D" w:rsidP="00DB671D">
            <w:pPr>
              <w:jc w:val="center"/>
              <w:rPr>
                <w:rFonts w:cstheme="minorHAnsi"/>
                <w:b/>
                <w:lang w:eastAsia="en-GB"/>
              </w:rPr>
            </w:pPr>
            <w:r w:rsidRPr="0045204F">
              <w:rPr>
                <w:rFonts w:cstheme="minorHAnsi"/>
                <w:b/>
                <w:lang w:eastAsia="en-GB"/>
              </w:rPr>
              <w:t>65+</w:t>
            </w:r>
          </w:p>
        </w:tc>
        <w:tc>
          <w:tcPr>
            <w:tcW w:w="1731" w:type="dxa"/>
            <w:vAlign w:val="bottom"/>
          </w:tcPr>
          <w:p w:rsidR="00DB671D" w:rsidRPr="0045204F" w:rsidRDefault="00DB671D" w:rsidP="00DB671D">
            <w:pPr>
              <w:jc w:val="center"/>
              <w:rPr>
                <w:rFonts w:ascii="Calibri" w:hAnsi="Calibri" w:cs="Calibri"/>
                <w:color w:val="000000"/>
              </w:rPr>
            </w:pPr>
            <w:r w:rsidRPr="0045204F">
              <w:rPr>
                <w:rFonts w:ascii="Calibri" w:hAnsi="Calibri" w:cs="Calibri"/>
                <w:color w:val="000000"/>
              </w:rPr>
              <w:t>2.3%</w:t>
            </w:r>
          </w:p>
        </w:tc>
        <w:tc>
          <w:tcPr>
            <w:tcW w:w="1701" w:type="dxa"/>
            <w:vAlign w:val="center"/>
          </w:tcPr>
          <w:p w:rsidR="00DB671D" w:rsidRPr="006002B3" w:rsidRDefault="00DB671D" w:rsidP="00DB671D">
            <w:pPr>
              <w:jc w:val="center"/>
              <w:rPr>
                <w:rFonts w:ascii="Calibri" w:hAnsi="Calibri" w:cs="Calibri"/>
                <w:bCs/>
                <w:color w:val="000000"/>
                <w:lang w:eastAsia="en-GB"/>
              </w:rPr>
            </w:pPr>
            <w:r w:rsidRPr="006002B3">
              <w:rPr>
                <w:bCs/>
                <w:color w:val="000000"/>
                <w:lang w:eastAsia="en-GB"/>
              </w:rPr>
              <w:t>0.9%</w:t>
            </w:r>
          </w:p>
        </w:tc>
        <w:tc>
          <w:tcPr>
            <w:tcW w:w="1418" w:type="dxa"/>
          </w:tcPr>
          <w:p w:rsidR="00DB671D" w:rsidRPr="006002B3" w:rsidRDefault="00DB671D" w:rsidP="00DB671D">
            <w:pPr>
              <w:jc w:val="center"/>
              <w:rPr>
                <w:bCs/>
                <w:color w:val="000000"/>
                <w:lang w:eastAsia="en-GB"/>
              </w:rPr>
            </w:pPr>
            <w:r>
              <w:rPr>
                <w:bCs/>
                <w:color w:val="000000"/>
                <w:lang w:eastAsia="en-GB"/>
              </w:rPr>
              <w:t>0%</w:t>
            </w:r>
          </w:p>
        </w:tc>
        <w:tc>
          <w:tcPr>
            <w:tcW w:w="1418" w:type="dxa"/>
            <w:tcBorders>
              <w:top w:val="nil"/>
              <w:left w:val="single" w:sz="8" w:space="0" w:color="000000"/>
              <w:bottom w:val="single" w:sz="8" w:space="0" w:color="000000"/>
              <w:right w:val="single" w:sz="8" w:space="0" w:color="000000"/>
            </w:tcBorders>
            <w:shd w:val="clear" w:color="auto" w:fill="auto"/>
            <w:vAlign w:val="center"/>
          </w:tcPr>
          <w:p w:rsidR="00DB671D" w:rsidRDefault="00DB671D" w:rsidP="00DB671D">
            <w:pPr>
              <w:jc w:val="center"/>
              <w:rPr>
                <w:rFonts w:ascii="Calibri" w:hAnsi="Calibri" w:cs="Calibri"/>
                <w:color w:val="000000"/>
              </w:rPr>
            </w:pPr>
            <w:r>
              <w:rPr>
                <w:rFonts w:ascii="Calibri" w:hAnsi="Calibri" w:cs="Calibri"/>
                <w:color w:val="000000"/>
              </w:rPr>
              <w:t>1.5%</w:t>
            </w:r>
          </w:p>
        </w:tc>
      </w:tr>
    </w:tbl>
    <w:p w:rsidR="00A03B7C" w:rsidRPr="0045204F" w:rsidRDefault="00A03B7C" w:rsidP="00A03B7C">
      <w:pPr>
        <w:rPr>
          <w:rFonts w:cstheme="minorHAnsi"/>
          <w:highlight w:val="yellow"/>
          <w:u w:val="single"/>
        </w:rPr>
      </w:pPr>
    </w:p>
    <w:p w:rsidR="00A03B7C" w:rsidRPr="0045204F" w:rsidRDefault="00A03B7C" w:rsidP="00A03B7C">
      <w:pPr>
        <w:rPr>
          <w:rFonts w:ascii="Calibri" w:hAnsi="Calibri" w:cs="Calibri"/>
        </w:rPr>
      </w:pPr>
      <w:r w:rsidRPr="0045204F">
        <w:rPr>
          <w:rFonts w:ascii="Calibri" w:hAnsi="Calibri" w:cs="Calibri"/>
        </w:rPr>
        <w:t xml:space="preserve">The largest number of staff </w:t>
      </w:r>
      <w:r>
        <w:rPr>
          <w:rFonts w:ascii="Calibri" w:hAnsi="Calibri" w:cs="Calibri"/>
        </w:rPr>
        <w:t>included</w:t>
      </w:r>
      <w:r w:rsidRPr="0045204F">
        <w:rPr>
          <w:rFonts w:ascii="Calibri" w:hAnsi="Calibri" w:cs="Calibri"/>
        </w:rPr>
        <w:t xml:space="preserve"> in </w:t>
      </w:r>
      <w:r w:rsidR="00DB671D">
        <w:rPr>
          <w:rFonts w:ascii="Calibri" w:hAnsi="Calibri" w:cs="Calibri"/>
        </w:rPr>
        <w:t xml:space="preserve">employee relations </w:t>
      </w:r>
      <w:r w:rsidRPr="0045204F">
        <w:rPr>
          <w:rFonts w:ascii="Calibri" w:hAnsi="Calibri" w:cs="Calibri"/>
        </w:rPr>
        <w:t xml:space="preserve">‘casework’ can be found in the age bracket </w:t>
      </w:r>
      <w:r w:rsidR="00DB671D">
        <w:rPr>
          <w:rFonts w:ascii="Calibri" w:hAnsi="Calibri" w:cs="Calibri"/>
        </w:rPr>
        <w:t xml:space="preserve">45-49 compared to the previous year which was </w:t>
      </w:r>
      <w:r>
        <w:rPr>
          <w:rFonts w:ascii="Calibri" w:hAnsi="Calibri" w:cs="Calibri"/>
        </w:rPr>
        <w:t xml:space="preserve">50 – 54, although there is not one contributory factor for this. </w:t>
      </w:r>
      <w:r w:rsidR="00DB671D">
        <w:rPr>
          <w:rFonts w:ascii="Calibri" w:hAnsi="Calibri" w:cs="Calibri"/>
        </w:rPr>
        <w:t>The</w:t>
      </w:r>
      <w:r>
        <w:rPr>
          <w:rFonts w:ascii="Calibri" w:hAnsi="Calibri" w:cs="Calibri"/>
        </w:rPr>
        <w:t xml:space="preserve"> age band 16 – 24 </w:t>
      </w:r>
      <w:r w:rsidR="00DB671D">
        <w:rPr>
          <w:rFonts w:ascii="Calibri" w:hAnsi="Calibri" w:cs="Calibri"/>
        </w:rPr>
        <w:t xml:space="preserve">has fallen significantly </w:t>
      </w:r>
      <w:r>
        <w:rPr>
          <w:rFonts w:ascii="Calibri" w:hAnsi="Calibri" w:cs="Calibri"/>
        </w:rPr>
        <w:t>(</w:t>
      </w:r>
      <w:r w:rsidRPr="0045204F">
        <w:rPr>
          <w:rFonts w:ascii="Calibri" w:hAnsi="Calibri" w:cs="Calibri"/>
        </w:rPr>
        <w:t>21.8%</w:t>
      </w:r>
      <w:r>
        <w:rPr>
          <w:rFonts w:ascii="Calibri" w:hAnsi="Calibri" w:cs="Calibri"/>
        </w:rPr>
        <w:t xml:space="preserve"> in 2015/16 and </w:t>
      </w:r>
      <w:r w:rsidR="001723F5">
        <w:rPr>
          <w:rFonts w:ascii="Calibri" w:hAnsi="Calibri" w:cs="Calibri"/>
        </w:rPr>
        <w:t>15.6%</w:t>
      </w:r>
      <w:r w:rsidRPr="0045204F">
        <w:rPr>
          <w:rFonts w:ascii="Calibri" w:hAnsi="Calibri" w:cs="Calibri"/>
        </w:rPr>
        <w:t xml:space="preserve"> in 20</w:t>
      </w:r>
      <w:r w:rsidR="001723F5">
        <w:rPr>
          <w:rFonts w:ascii="Calibri" w:hAnsi="Calibri" w:cs="Calibri"/>
        </w:rPr>
        <w:t>16/17</w:t>
      </w:r>
      <w:r>
        <w:rPr>
          <w:rFonts w:ascii="Calibri" w:hAnsi="Calibri" w:cs="Calibri"/>
        </w:rPr>
        <w:t xml:space="preserve">) </w:t>
      </w:r>
      <w:r w:rsidR="001723F5">
        <w:rPr>
          <w:rFonts w:ascii="Calibri" w:hAnsi="Calibri" w:cs="Calibri"/>
        </w:rPr>
        <w:t>and at 6.5% is now almost identical to the college’s staff profile.</w:t>
      </w:r>
    </w:p>
    <w:p w:rsidR="00A03B7C" w:rsidRPr="0045204F" w:rsidRDefault="001723F5" w:rsidP="00A03B7C">
      <w:pPr>
        <w:rPr>
          <w:rFonts w:cstheme="minorHAnsi"/>
        </w:rPr>
      </w:pPr>
      <w:r>
        <w:rPr>
          <w:rFonts w:ascii="Calibri" w:hAnsi="Calibri" w:cs="Calibri"/>
        </w:rPr>
        <w:t xml:space="preserve">Generally, </w:t>
      </w:r>
      <w:r>
        <w:rPr>
          <w:rFonts w:cstheme="minorHAnsi"/>
        </w:rPr>
        <w:t>employee relations cases</w:t>
      </w:r>
      <w:r w:rsidR="00A03B7C" w:rsidRPr="0045204F">
        <w:rPr>
          <w:rFonts w:cstheme="minorHAnsi"/>
        </w:rPr>
        <w:t xml:space="preserve"> percentages </w:t>
      </w:r>
      <w:r>
        <w:rPr>
          <w:rFonts w:cstheme="minorHAnsi"/>
        </w:rPr>
        <w:t>throughout the age profiles</w:t>
      </w:r>
      <w:r w:rsidR="00A03B7C" w:rsidRPr="0045204F">
        <w:rPr>
          <w:rFonts w:cstheme="minorHAnsi"/>
        </w:rPr>
        <w:t xml:space="preserve"> are broadly distributed reflecting the College’s overall staff age profile.</w:t>
      </w:r>
    </w:p>
    <w:p w:rsidR="00A03B7C" w:rsidRDefault="00A03B7C" w:rsidP="00A03B7C">
      <w:pPr>
        <w:rPr>
          <w:rFonts w:eastAsiaTheme="minorEastAsia" w:cstheme="minorHAnsi"/>
          <w:b/>
          <w:u w:val="single"/>
          <w:lang w:eastAsia="en-GB"/>
        </w:rPr>
      </w:pPr>
      <w:r w:rsidRPr="0086242F">
        <w:rPr>
          <w:rFonts w:eastAsiaTheme="minorEastAsia" w:cstheme="minorHAnsi"/>
          <w:b/>
          <w:u w:val="single"/>
          <w:lang w:eastAsia="en-GB"/>
        </w:rPr>
        <w:t>Employee Relations Gender Profiling</w:t>
      </w:r>
      <w:r>
        <w:rPr>
          <w:rFonts w:eastAsiaTheme="minorEastAsia" w:cstheme="minorHAnsi"/>
          <w:b/>
          <w:u w:val="single"/>
          <w:lang w:eastAsia="en-GB"/>
        </w:rPr>
        <w:t xml:space="preserve"> </w:t>
      </w:r>
    </w:p>
    <w:tbl>
      <w:tblPr>
        <w:tblStyle w:val="TableGrid1"/>
        <w:tblW w:w="9209" w:type="dxa"/>
        <w:tblLook w:val="04A0" w:firstRow="1" w:lastRow="0" w:firstColumn="1" w:lastColumn="0" w:noHBand="0" w:noVBand="1"/>
      </w:tblPr>
      <w:tblGrid>
        <w:gridCol w:w="1891"/>
        <w:gridCol w:w="1790"/>
        <w:gridCol w:w="1843"/>
        <w:gridCol w:w="1701"/>
        <w:gridCol w:w="1984"/>
      </w:tblGrid>
      <w:tr w:rsidR="00425990" w:rsidRPr="0086242F" w:rsidTr="005758EB">
        <w:tc>
          <w:tcPr>
            <w:tcW w:w="1891" w:type="dxa"/>
            <w:shd w:val="clear" w:color="auto" w:fill="95B3D7" w:themeFill="accent1" w:themeFillTint="99"/>
          </w:tcPr>
          <w:p w:rsidR="00425990" w:rsidRPr="0086242F" w:rsidRDefault="00425990" w:rsidP="00341605">
            <w:pPr>
              <w:spacing w:before="240" w:after="240"/>
              <w:jc w:val="center"/>
              <w:rPr>
                <w:rFonts w:cstheme="minorHAnsi"/>
                <w:b/>
                <w:color w:val="FFFFFF" w:themeColor="background1"/>
                <w:lang w:eastAsia="en-GB"/>
              </w:rPr>
            </w:pPr>
            <w:r w:rsidRPr="0086242F">
              <w:rPr>
                <w:rFonts w:cstheme="minorHAnsi"/>
                <w:b/>
                <w:color w:val="FFFFFF" w:themeColor="background1"/>
                <w:lang w:eastAsia="en-GB"/>
              </w:rPr>
              <w:t>Gender</w:t>
            </w:r>
          </w:p>
        </w:tc>
        <w:tc>
          <w:tcPr>
            <w:tcW w:w="1790" w:type="dxa"/>
            <w:shd w:val="clear" w:color="auto" w:fill="95B3D7" w:themeFill="accent1" w:themeFillTint="99"/>
          </w:tcPr>
          <w:p w:rsidR="00425990" w:rsidRPr="0086242F" w:rsidRDefault="00425990" w:rsidP="00425990">
            <w:pPr>
              <w:spacing w:before="240" w:after="240"/>
              <w:jc w:val="center"/>
              <w:rPr>
                <w:rFonts w:cstheme="minorHAnsi"/>
                <w:b/>
                <w:color w:val="FFFFFF" w:themeColor="background1"/>
                <w:lang w:eastAsia="en-GB"/>
              </w:rPr>
            </w:pPr>
            <w:r>
              <w:rPr>
                <w:rFonts w:cstheme="minorHAnsi"/>
                <w:b/>
                <w:color w:val="FFFFFF" w:themeColor="background1"/>
                <w:lang w:eastAsia="en-GB"/>
              </w:rPr>
              <w:t>2015-16</w:t>
            </w:r>
          </w:p>
        </w:tc>
        <w:tc>
          <w:tcPr>
            <w:tcW w:w="1843" w:type="dxa"/>
            <w:shd w:val="clear" w:color="auto" w:fill="95B3D7" w:themeFill="accent1" w:themeFillTint="99"/>
          </w:tcPr>
          <w:p w:rsidR="00425990" w:rsidRPr="0086242F" w:rsidRDefault="00425990" w:rsidP="00425990">
            <w:pPr>
              <w:spacing w:before="240" w:after="240"/>
              <w:jc w:val="center"/>
              <w:rPr>
                <w:rFonts w:cstheme="minorHAnsi"/>
                <w:b/>
                <w:color w:val="FFFFFF" w:themeColor="background1"/>
                <w:lang w:eastAsia="en-GB"/>
              </w:rPr>
            </w:pPr>
            <w:r>
              <w:rPr>
                <w:rFonts w:cstheme="minorHAnsi"/>
                <w:b/>
                <w:color w:val="FFFFFF" w:themeColor="background1"/>
                <w:lang w:eastAsia="en-GB"/>
              </w:rPr>
              <w:t>2016-17</w:t>
            </w:r>
          </w:p>
        </w:tc>
        <w:tc>
          <w:tcPr>
            <w:tcW w:w="1701" w:type="dxa"/>
            <w:shd w:val="clear" w:color="auto" w:fill="95B3D7" w:themeFill="accent1" w:themeFillTint="99"/>
          </w:tcPr>
          <w:p w:rsidR="00425990" w:rsidRDefault="00425990" w:rsidP="00425990">
            <w:pPr>
              <w:spacing w:before="240" w:after="240"/>
              <w:jc w:val="center"/>
              <w:rPr>
                <w:rFonts w:cstheme="minorHAnsi"/>
                <w:b/>
                <w:color w:val="FFFFFF" w:themeColor="background1"/>
                <w:lang w:eastAsia="en-GB"/>
              </w:rPr>
            </w:pPr>
            <w:r>
              <w:rPr>
                <w:rFonts w:cstheme="minorHAnsi"/>
                <w:b/>
                <w:color w:val="FFFFFF" w:themeColor="background1"/>
                <w:lang w:eastAsia="en-GB"/>
              </w:rPr>
              <w:t>2017-18</w:t>
            </w:r>
          </w:p>
        </w:tc>
        <w:tc>
          <w:tcPr>
            <w:tcW w:w="1984" w:type="dxa"/>
            <w:shd w:val="clear" w:color="auto" w:fill="95B3D7" w:themeFill="accent1" w:themeFillTint="99"/>
          </w:tcPr>
          <w:p w:rsidR="00425990" w:rsidRDefault="00425990" w:rsidP="00425990">
            <w:pPr>
              <w:spacing w:before="240" w:after="240"/>
              <w:jc w:val="center"/>
              <w:rPr>
                <w:rFonts w:cstheme="minorHAnsi"/>
                <w:b/>
                <w:color w:val="FFFFFF" w:themeColor="background1"/>
                <w:lang w:eastAsia="en-GB"/>
              </w:rPr>
            </w:pPr>
            <w:r>
              <w:rPr>
                <w:rFonts w:cstheme="minorHAnsi"/>
                <w:b/>
                <w:color w:val="FFFFFF" w:themeColor="background1"/>
                <w:lang w:eastAsia="en-GB"/>
              </w:rPr>
              <w:t>CCG Staff 2017-18</w:t>
            </w:r>
          </w:p>
        </w:tc>
      </w:tr>
      <w:tr w:rsidR="00425990" w:rsidRPr="0045204F" w:rsidTr="005758EB">
        <w:tc>
          <w:tcPr>
            <w:tcW w:w="1891" w:type="dxa"/>
          </w:tcPr>
          <w:p w:rsidR="00425990" w:rsidRPr="0045204F" w:rsidRDefault="00425990" w:rsidP="00341605">
            <w:pPr>
              <w:jc w:val="center"/>
              <w:rPr>
                <w:rFonts w:cstheme="minorHAnsi"/>
                <w:b/>
                <w:lang w:eastAsia="en-GB"/>
              </w:rPr>
            </w:pPr>
            <w:r w:rsidRPr="0045204F">
              <w:rPr>
                <w:rFonts w:cstheme="minorHAnsi"/>
                <w:b/>
                <w:lang w:eastAsia="en-GB"/>
              </w:rPr>
              <w:t>Female</w:t>
            </w:r>
          </w:p>
        </w:tc>
        <w:tc>
          <w:tcPr>
            <w:tcW w:w="1790" w:type="dxa"/>
            <w:vAlign w:val="bottom"/>
          </w:tcPr>
          <w:p w:rsidR="00425990" w:rsidRPr="0045204F" w:rsidRDefault="00425990" w:rsidP="00341605">
            <w:pPr>
              <w:jc w:val="center"/>
              <w:rPr>
                <w:rFonts w:ascii="Calibri" w:hAnsi="Calibri" w:cs="Calibri"/>
                <w:color w:val="000000"/>
              </w:rPr>
            </w:pPr>
            <w:r w:rsidRPr="0045204F">
              <w:rPr>
                <w:rFonts w:ascii="Calibri" w:hAnsi="Calibri" w:cs="Calibri"/>
                <w:color w:val="000000"/>
              </w:rPr>
              <w:t>54.4%</w:t>
            </w:r>
          </w:p>
        </w:tc>
        <w:tc>
          <w:tcPr>
            <w:tcW w:w="1843" w:type="dxa"/>
          </w:tcPr>
          <w:p w:rsidR="00425990" w:rsidRPr="0045204F" w:rsidRDefault="00425990" w:rsidP="00341605">
            <w:pPr>
              <w:jc w:val="center"/>
              <w:rPr>
                <w:rFonts w:ascii="Calibri" w:hAnsi="Calibri" w:cs="Calibri"/>
                <w:color w:val="000000"/>
              </w:rPr>
            </w:pPr>
            <w:r>
              <w:rPr>
                <w:rFonts w:ascii="Calibri" w:hAnsi="Calibri" w:cs="Calibri"/>
                <w:color w:val="000000"/>
              </w:rPr>
              <w:t>54.1%</w:t>
            </w:r>
          </w:p>
        </w:tc>
        <w:tc>
          <w:tcPr>
            <w:tcW w:w="1701" w:type="dxa"/>
          </w:tcPr>
          <w:p w:rsidR="00425990" w:rsidRDefault="00E858C0" w:rsidP="00341605">
            <w:pPr>
              <w:jc w:val="center"/>
              <w:rPr>
                <w:rFonts w:ascii="Calibri" w:hAnsi="Calibri" w:cs="Calibri"/>
                <w:color w:val="000000"/>
              </w:rPr>
            </w:pPr>
            <w:r>
              <w:rPr>
                <w:rFonts w:ascii="Calibri" w:hAnsi="Calibri" w:cs="Calibri"/>
                <w:color w:val="000000"/>
              </w:rPr>
              <w:t>50%</w:t>
            </w:r>
          </w:p>
        </w:tc>
        <w:tc>
          <w:tcPr>
            <w:tcW w:w="1984" w:type="dxa"/>
          </w:tcPr>
          <w:p w:rsidR="00425990" w:rsidRDefault="004A271E" w:rsidP="00341605">
            <w:pPr>
              <w:jc w:val="center"/>
              <w:rPr>
                <w:rFonts w:ascii="Calibri" w:hAnsi="Calibri" w:cs="Calibri"/>
                <w:color w:val="000000"/>
              </w:rPr>
            </w:pPr>
            <w:r>
              <w:rPr>
                <w:rFonts w:ascii="Calibri" w:hAnsi="Calibri" w:cs="Calibri"/>
                <w:color w:val="000000"/>
              </w:rPr>
              <w:t>58%</w:t>
            </w:r>
          </w:p>
        </w:tc>
      </w:tr>
      <w:tr w:rsidR="00425990" w:rsidRPr="0045204F" w:rsidTr="005758EB">
        <w:tc>
          <w:tcPr>
            <w:tcW w:w="1891" w:type="dxa"/>
          </w:tcPr>
          <w:p w:rsidR="00425990" w:rsidRPr="0045204F" w:rsidRDefault="00425990" w:rsidP="00341605">
            <w:pPr>
              <w:jc w:val="center"/>
              <w:rPr>
                <w:rFonts w:cstheme="minorHAnsi"/>
                <w:b/>
                <w:lang w:eastAsia="en-GB"/>
              </w:rPr>
            </w:pPr>
            <w:r w:rsidRPr="0045204F">
              <w:rPr>
                <w:rFonts w:cstheme="minorHAnsi"/>
                <w:b/>
                <w:lang w:eastAsia="en-GB"/>
              </w:rPr>
              <w:t>Male</w:t>
            </w:r>
          </w:p>
        </w:tc>
        <w:tc>
          <w:tcPr>
            <w:tcW w:w="1790" w:type="dxa"/>
            <w:vAlign w:val="bottom"/>
          </w:tcPr>
          <w:p w:rsidR="00425990" w:rsidRPr="0045204F" w:rsidRDefault="00425990" w:rsidP="00341605">
            <w:pPr>
              <w:jc w:val="center"/>
              <w:rPr>
                <w:rFonts w:ascii="Calibri" w:hAnsi="Calibri" w:cs="Calibri"/>
                <w:color w:val="000000"/>
              </w:rPr>
            </w:pPr>
            <w:r w:rsidRPr="0045204F">
              <w:rPr>
                <w:rFonts w:ascii="Calibri" w:hAnsi="Calibri" w:cs="Calibri"/>
                <w:color w:val="000000"/>
              </w:rPr>
              <w:t>45.6%</w:t>
            </w:r>
          </w:p>
        </w:tc>
        <w:tc>
          <w:tcPr>
            <w:tcW w:w="1843" w:type="dxa"/>
          </w:tcPr>
          <w:p w:rsidR="00425990" w:rsidRPr="0045204F" w:rsidRDefault="00425990" w:rsidP="00341605">
            <w:pPr>
              <w:jc w:val="center"/>
              <w:rPr>
                <w:rFonts w:ascii="Calibri" w:hAnsi="Calibri" w:cs="Calibri"/>
                <w:color w:val="000000"/>
              </w:rPr>
            </w:pPr>
            <w:r>
              <w:rPr>
                <w:rFonts w:ascii="Calibri" w:hAnsi="Calibri" w:cs="Calibri"/>
                <w:color w:val="000000"/>
              </w:rPr>
              <w:t>45.9%</w:t>
            </w:r>
          </w:p>
        </w:tc>
        <w:tc>
          <w:tcPr>
            <w:tcW w:w="1701" w:type="dxa"/>
          </w:tcPr>
          <w:p w:rsidR="00425990" w:rsidRDefault="00E858C0" w:rsidP="00341605">
            <w:pPr>
              <w:jc w:val="center"/>
              <w:rPr>
                <w:rFonts w:ascii="Calibri" w:hAnsi="Calibri" w:cs="Calibri"/>
                <w:color w:val="000000"/>
              </w:rPr>
            </w:pPr>
            <w:r>
              <w:rPr>
                <w:rFonts w:ascii="Calibri" w:hAnsi="Calibri" w:cs="Calibri"/>
                <w:color w:val="000000"/>
              </w:rPr>
              <w:t>50%</w:t>
            </w:r>
          </w:p>
        </w:tc>
        <w:tc>
          <w:tcPr>
            <w:tcW w:w="1984" w:type="dxa"/>
          </w:tcPr>
          <w:p w:rsidR="00425990" w:rsidRDefault="004A271E" w:rsidP="00341605">
            <w:pPr>
              <w:jc w:val="center"/>
              <w:rPr>
                <w:rFonts w:ascii="Calibri" w:hAnsi="Calibri" w:cs="Calibri"/>
                <w:color w:val="000000"/>
              </w:rPr>
            </w:pPr>
            <w:r>
              <w:rPr>
                <w:rFonts w:ascii="Calibri" w:hAnsi="Calibri" w:cs="Calibri"/>
                <w:color w:val="000000"/>
              </w:rPr>
              <w:t>42%</w:t>
            </w:r>
          </w:p>
        </w:tc>
      </w:tr>
    </w:tbl>
    <w:p w:rsidR="00A03B7C" w:rsidRPr="0045204F" w:rsidRDefault="00A03B7C" w:rsidP="00A03B7C">
      <w:pPr>
        <w:rPr>
          <w:rFonts w:cstheme="minorHAnsi"/>
          <w:highlight w:val="yellow"/>
          <w:u w:val="single"/>
        </w:rPr>
      </w:pPr>
    </w:p>
    <w:p w:rsidR="00A03B7C" w:rsidRDefault="00A03B7C" w:rsidP="00A03B7C">
      <w:pPr>
        <w:shd w:val="clear" w:color="auto" w:fill="FFFFFF" w:themeFill="background1"/>
        <w:rPr>
          <w:rFonts w:cstheme="minorHAnsi"/>
        </w:rPr>
      </w:pPr>
      <w:r w:rsidRPr="0045204F">
        <w:rPr>
          <w:rFonts w:cstheme="minorHAnsi"/>
        </w:rPr>
        <w:t>The ‘</w:t>
      </w:r>
      <w:r w:rsidRPr="0087195C">
        <w:rPr>
          <w:rFonts w:cstheme="minorHAnsi"/>
        </w:rPr>
        <w:t xml:space="preserve">gender split’ for the </w:t>
      </w:r>
      <w:r w:rsidR="00E858C0">
        <w:rPr>
          <w:rFonts w:cstheme="minorHAnsi"/>
        </w:rPr>
        <w:t>76</w:t>
      </w:r>
      <w:r w:rsidRPr="0087195C">
        <w:rPr>
          <w:rFonts w:cstheme="minorHAnsi"/>
        </w:rPr>
        <w:t xml:space="preserve"> employee relations cases in 201</w:t>
      </w:r>
      <w:r w:rsidR="00E858C0">
        <w:rPr>
          <w:rFonts w:cstheme="minorHAnsi"/>
        </w:rPr>
        <w:t>7</w:t>
      </w:r>
      <w:r w:rsidRPr="0087195C">
        <w:rPr>
          <w:rFonts w:cstheme="minorHAnsi"/>
        </w:rPr>
        <w:t>/</w:t>
      </w:r>
      <w:r w:rsidR="00E858C0">
        <w:rPr>
          <w:rFonts w:cstheme="minorHAnsi"/>
        </w:rPr>
        <w:t>18</w:t>
      </w:r>
      <w:r w:rsidRPr="0087195C">
        <w:rPr>
          <w:rFonts w:cstheme="minorHAnsi"/>
        </w:rPr>
        <w:t xml:space="preserve"> is </w:t>
      </w:r>
      <w:r w:rsidR="00E858C0">
        <w:rPr>
          <w:rFonts w:cstheme="minorHAnsi"/>
        </w:rPr>
        <w:t xml:space="preserve">exactly 50% female, 50% male, compared to the previous year of  </w:t>
      </w:r>
      <w:r w:rsidRPr="0087195C">
        <w:rPr>
          <w:rFonts w:cstheme="minorHAnsi"/>
        </w:rPr>
        <w:t>54.1% female to 45.9% male</w:t>
      </w:r>
      <w:r w:rsidR="00E858C0">
        <w:rPr>
          <w:rFonts w:cstheme="minorHAnsi"/>
        </w:rPr>
        <w:t>. Percentage profiles over the previous 3 years have remained largely static and in line with overall staff gender profiling.</w:t>
      </w:r>
    </w:p>
    <w:p w:rsidR="00A03B7C" w:rsidRDefault="00A03B7C" w:rsidP="00A03B7C">
      <w:pPr>
        <w:shd w:val="clear" w:color="auto" w:fill="FFFFFF" w:themeFill="background1"/>
        <w:rPr>
          <w:rFonts w:cstheme="minorHAnsi"/>
          <w:highlight w:val="yellow"/>
          <w:u w:val="single"/>
        </w:rPr>
      </w:pPr>
    </w:p>
    <w:p w:rsidR="00E858C0" w:rsidRDefault="00E858C0" w:rsidP="00A03B7C">
      <w:pPr>
        <w:shd w:val="clear" w:color="auto" w:fill="FFFFFF" w:themeFill="background1"/>
        <w:rPr>
          <w:rFonts w:cstheme="minorHAnsi"/>
          <w:highlight w:val="yellow"/>
          <w:u w:val="single"/>
        </w:rPr>
      </w:pPr>
    </w:p>
    <w:p w:rsidR="004455C3" w:rsidRPr="0045204F" w:rsidRDefault="004455C3" w:rsidP="00A03B7C">
      <w:pPr>
        <w:shd w:val="clear" w:color="auto" w:fill="FFFFFF" w:themeFill="background1"/>
        <w:rPr>
          <w:rFonts w:cstheme="minorHAnsi"/>
          <w:highlight w:val="yellow"/>
          <w:u w:val="single"/>
        </w:rPr>
      </w:pPr>
    </w:p>
    <w:p w:rsidR="00A03B7C" w:rsidRDefault="00A03B7C" w:rsidP="00A03B7C">
      <w:pPr>
        <w:rPr>
          <w:rFonts w:eastAsiaTheme="minorEastAsia" w:cstheme="minorHAnsi"/>
          <w:b/>
          <w:u w:val="single"/>
          <w:lang w:eastAsia="en-GB"/>
        </w:rPr>
      </w:pPr>
      <w:r w:rsidRPr="0087195C">
        <w:rPr>
          <w:rFonts w:eastAsiaTheme="minorEastAsia" w:cstheme="minorHAnsi"/>
          <w:b/>
          <w:u w:val="single"/>
          <w:lang w:eastAsia="en-GB"/>
        </w:rPr>
        <w:lastRenderedPageBreak/>
        <w:t>Employee Relations Disability Profiling</w:t>
      </w:r>
      <w:r>
        <w:rPr>
          <w:u w:val="single"/>
        </w:rPr>
        <w:t xml:space="preserve"> </w:t>
      </w:r>
    </w:p>
    <w:tbl>
      <w:tblPr>
        <w:tblStyle w:val="TableGrid1"/>
        <w:tblW w:w="9209" w:type="dxa"/>
        <w:tblLook w:val="04A0" w:firstRow="1" w:lastRow="0" w:firstColumn="1" w:lastColumn="0" w:noHBand="0" w:noVBand="1"/>
      </w:tblPr>
      <w:tblGrid>
        <w:gridCol w:w="2405"/>
        <w:gridCol w:w="1843"/>
        <w:gridCol w:w="1701"/>
        <w:gridCol w:w="1701"/>
        <w:gridCol w:w="1559"/>
      </w:tblGrid>
      <w:tr w:rsidR="00E27B62" w:rsidRPr="0087195C" w:rsidTr="00E27B62">
        <w:trPr>
          <w:trHeight w:val="257"/>
        </w:trPr>
        <w:tc>
          <w:tcPr>
            <w:tcW w:w="2405" w:type="dxa"/>
            <w:shd w:val="clear" w:color="auto" w:fill="95B3D7" w:themeFill="accent1" w:themeFillTint="99"/>
          </w:tcPr>
          <w:p w:rsidR="00E27B62" w:rsidRPr="0087195C" w:rsidRDefault="00E27B62" w:rsidP="00341605">
            <w:pPr>
              <w:spacing w:before="240" w:after="240"/>
              <w:jc w:val="center"/>
              <w:rPr>
                <w:rFonts w:cstheme="minorHAnsi"/>
                <w:b/>
                <w:color w:val="FFFFFF" w:themeColor="background1"/>
                <w:lang w:eastAsia="en-GB"/>
              </w:rPr>
            </w:pPr>
            <w:r w:rsidRPr="0087195C">
              <w:rPr>
                <w:rFonts w:cstheme="minorHAnsi"/>
                <w:b/>
                <w:color w:val="FFFFFF" w:themeColor="background1"/>
                <w:lang w:eastAsia="en-GB"/>
              </w:rPr>
              <w:t>Disability Status</w:t>
            </w:r>
          </w:p>
        </w:tc>
        <w:tc>
          <w:tcPr>
            <w:tcW w:w="1843" w:type="dxa"/>
            <w:shd w:val="clear" w:color="auto" w:fill="95B3D7" w:themeFill="accent1" w:themeFillTint="99"/>
          </w:tcPr>
          <w:p w:rsidR="00E27B62" w:rsidRPr="0087195C" w:rsidRDefault="00E27B62" w:rsidP="00E27B62">
            <w:pPr>
              <w:spacing w:before="240" w:after="240"/>
              <w:jc w:val="center"/>
              <w:rPr>
                <w:rFonts w:cstheme="minorHAnsi"/>
                <w:b/>
                <w:color w:val="FFFFFF" w:themeColor="background1"/>
                <w:lang w:eastAsia="en-GB"/>
              </w:rPr>
            </w:pPr>
            <w:r w:rsidRPr="0087195C">
              <w:rPr>
                <w:rFonts w:cstheme="minorHAnsi"/>
                <w:b/>
                <w:color w:val="FFFFFF" w:themeColor="background1"/>
                <w:lang w:eastAsia="en-GB"/>
              </w:rPr>
              <w:t>2015</w:t>
            </w:r>
            <w:r>
              <w:rPr>
                <w:rFonts w:cstheme="minorHAnsi"/>
                <w:b/>
                <w:color w:val="FFFFFF" w:themeColor="background1"/>
                <w:lang w:eastAsia="en-GB"/>
              </w:rPr>
              <w:t>-</w:t>
            </w:r>
            <w:r w:rsidRPr="0087195C">
              <w:rPr>
                <w:rFonts w:cstheme="minorHAnsi"/>
                <w:b/>
                <w:color w:val="FFFFFF" w:themeColor="background1"/>
                <w:lang w:eastAsia="en-GB"/>
              </w:rPr>
              <w:t>16</w:t>
            </w:r>
          </w:p>
        </w:tc>
        <w:tc>
          <w:tcPr>
            <w:tcW w:w="1701" w:type="dxa"/>
            <w:shd w:val="clear" w:color="auto" w:fill="95B3D7" w:themeFill="accent1" w:themeFillTint="99"/>
          </w:tcPr>
          <w:p w:rsidR="00E27B62" w:rsidRPr="0087195C" w:rsidRDefault="00E27B62" w:rsidP="00E27B62">
            <w:pPr>
              <w:spacing w:before="240" w:after="240"/>
              <w:jc w:val="center"/>
              <w:rPr>
                <w:rFonts w:cstheme="minorHAnsi"/>
                <w:b/>
                <w:color w:val="FFFFFF" w:themeColor="background1"/>
                <w:lang w:eastAsia="en-GB"/>
              </w:rPr>
            </w:pPr>
            <w:r w:rsidRPr="0087195C">
              <w:rPr>
                <w:rFonts w:cstheme="minorHAnsi"/>
                <w:b/>
                <w:color w:val="FFFFFF" w:themeColor="background1"/>
                <w:lang w:eastAsia="en-GB"/>
              </w:rPr>
              <w:t>2016</w:t>
            </w:r>
            <w:r>
              <w:rPr>
                <w:rFonts w:cstheme="minorHAnsi"/>
                <w:b/>
                <w:color w:val="FFFFFF" w:themeColor="background1"/>
                <w:lang w:eastAsia="en-GB"/>
              </w:rPr>
              <w:t>-</w:t>
            </w:r>
            <w:r w:rsidRPr="0087195C">
              <w:rPr>
                <w:rFonts w:cstheme="minorHAnsi"/>
                <w:b/>
                <w:color w:val="FFFFFF" w:themeColor="background1"/>
                <w:lang w:eastAsia="en-GB"/>
              </w:rPr>
              <w:t>17</w:t>
            </w:r>
          </w:p>
        </w:tc>
        <w:tc>
          <w:tcPr>
            <w:tcW w:w="1701" w:type="dxa"/>
            <w:shd w:val="clear" w:color="auto" w:fill="95B3D7" w:themeFill="accent1" w:themeFillTint="99"/>
          </w:tcPr>
          <w:p w:rsidR="00E27B62" w:rsidRPr="0087195C" w:rsidRDefault="00E27B62" w:rsidP="00341605">
            <w:pPr>
              <w:spacing w:before="240" w:after="240"/>
              <w:jc w:val="center"/>
              <w:rPr>
                <w:rFonts w:cstheme="minorHAnsi"/>
                <w:b/>
                <w:color w:val="FFFFFF" w:themeColor="background1"/>
                <w:lang w:eastAsia="en-GB"/>
              </w:rPr>
            </w:pPr>
            <w:r>
              <w:rPr>
                <w:rFonts w:cstheme="minorHAnsi"/>
                <w:b/>
                <w:color w:val="FFFFFF" w:themeColor="background1"/>
                <w:lang w:eastAsia="en-GB"/>
              </w:rPr>
              <w:t>2017-18</w:t>
            </w:r>
          </w:p>
        </w:tc>
        <w:tc>
          <w:tcPr>
            <w:tcW w:w="1559" w:type="dxa"/>
            <w:shd w:val="clear" w:color="auto" w:fill="95B3D7" w:themeFill="accent1" w:themeFillTint="99"/>
          </w:tcPr>
          <w:p w:rsidR="00E27B62" w:rsidRDefault="00E27B62" w:rsidP="00341605">
            <w:pPr>
              <w:spacing w:before="240" w:after="240"/>
              <w:jc w:val="center"/>
              <w:rPr>
                <w:rFonts w:cstheme="minorHAnsi"/>
                <w:b/>
                <w:color w:val="FFFFFF" w:themeColor="background1"/>
                <w:lang w:eastAsia="en-GB"/>
              </w:rPr>
            </w:pPr>
            <w:r>
              <w:rPr>
                <w:rFonts w:cstheme="minorHAnsi"/>
                <w:b/>
                <w:color w:val="FFFFFF" w:themeColor="background1"/>
                <w:lang w:eastAsia="en-GB"/>
              </w:rPr>
              <w:t>CCG Staff 2017-18</w:t>
            </w:r>
          </w:p>
        </w:tc>
      </w:tr>
      <w:tr w:rsidR="00E27B62" w:rsidRPr="0045204F" w:rsidTr="00341605">
        <w:tc>
          <w:tcPr>
            <w:tcW w:w="2405" w:type="dxa"/>
          </w:tcPr>
          <w:p w:rsidR="00E27B62" w:rsidRPr="0045204F" w:rsidRDefault="00E27B62" w:rsidP="00E27B62">
            <w:pPr>
              <w:jc w:val="center"/>
              <w:rPr>
                <w:rFonts w:cstheme="minorHAnsi"/>
                <w:b/>
                <w:lang w:eastAsia="en-GB"/>
              </w:rPr>
            </w:pPr>
            <w:r w:rsidRPr="0045204F">
              <w:rPr>
                <w:rFonts w:cstheme="minorHAnsi"/>
                <w:b/>
                <w:lang w:eastAsia="en-GB"/>
              </w:rPr>
              <w:t>No</w:t>
            </w:r>
          </w:p>
        </w:tc>
        <w:tc>
          <w:tcPr>
            <w:tcW w:w="1843" w:type="dxa"/>
            <w:vAlign w:val="bottom"/>
          </w:tcPr>
          <w:p w:rsidR="00E27B62" w:rsidRPr="0045204F" w:rsidRDefault="00E27B62" w:rsidP="00E27B62">
            <w:pPr>
              <w:jc w:val="center"/>
              <w:rPr>
                <w:rFonts w:ascii="Calibri" w:hAnsi="Calibri" w:cs="Calibri"/>
                <w:color w:val="000000"/>
              </w:rPr>
            </w:pPr>
            <w:r w:rsidRPr="0045204F">
              <w:rPr>
                <w:rFonts w:ascii="Calibri" w:hAnsi="Calibri" w:cs="Calibri"/>
                <w:color w:val="000000"/>
              </w:rPr>
              <w:t>84.4%</w:t>
            </w:r>
          </w:p>
        </w:tc>
        <w:tc>
          <w:tcPr>
            <w:tcW w:w="1701" w:type="dxa"/>
          </w:tcPr>
          <w:p w:rsidR="00E27B62" w:rsidRPr="0045204F" w:rsidRDefault="00E27B62" w:rsidP="00E27B62">
            <w:pPr>
              <w:jc w:val="center"/>
              <w:rPr>
                <w:rFonts w:ascii="Calibri" w:hAnsi="Calibri" w:cs="Calibri"/>
                <w:color w:val="000000"/>
              </w:rPr>
            </w:pPr>
            <w:r>
              <w:rPr>
                <w:rFonts w:ascii="Calibri" w:hAnsi="Calibri" w:cs="Calibri"/>
                <w:color w:val="000000"/>
              </w:rPr>
              <w:t>89.9%</w:t>
            </w:r>
          </w:p>
        </w:tc>
        <w:tc>
          <w:tcPr>
            <w:tcW w:w="1701" w:type="dxa"/>
          </w:tcPr>
          <w:p w:rsidR="00E27B62" w:rsidRDefault="008C0389" w:rsidP="00E27B62">
            <w:pPr>
              <w:jc w:val="center"/>
              <w:rPr>
                <w:rFonts w:ascii="Calibri" w:hAnsi="Calibri" w:cs="Calibri"/>
                <w:color w:val="000000"/>
              </w:rPr>
            </w:pPr>
            <w:r>
              <w:rPr>
                <w:rFonts w:ascii="Calibri" w:hAnsi="Calibri" w:cs="Calibri"/>
                <w:color w:val="000000"/>
              </w:rPr>
              <w:t>86.8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27B62" w:rsidRDefault="00E27B62" w:rsidP="00E27B62">
            <w:pPr>
              <w:jc w:val="right"/>
              <w:rPr>
                <w:rFonts w:ascii="Calibri" w:hAnsi="Calibri" w:cs="Calibri"/>
                <w:color w:val="000000"/>
              </w:rPr>
            </w:pPr>
            <w:r>
              <w:rPr>
                <w:rFonts w:ascii="Calibri" w:hAnsi="Calibri" w:cs="Calibri"/>
                <w:color w:val="000000"/>
              </w:rPr>
              <w:t>72.5%</w:t>
            </w:r>
          </w:p>
        </w:tc>
      </w:tr>
      <w:tr w:rsidR="00E27B62" w:rsidRPr="0045204F" w:rsidTr="00341605">
        <w:tc>
          <w:tcPr>
            <w:tcW w:w="2405" w:type="dxa"/>
          </w:tcPr>
          <w:p w:rsidR="00E27B62" w:rsidRPr="0045204F" w:rsidRDefault="00E27B62" w:rsidP="00E27B62">
            <w:pPr>
              <w:jc w:val="center"/>
              <w:rPr>
                <w:rFonts w:cstheme="minorHAnsi"/>
                <w:b/>
                <w:lang w:eastAsia="en-GB"/>
              </w:rPr>
            </w:pPr>
            <w:r w:rsidRPr="0045204F">
              <w:rPr>
                <w:rFonts w:cstheme="minorHAnsi"/>
                <w:b/>
                <w:lang w:eastAsia="en-GB"/>
              </w:rPr>
              <w:t>Yes</w:t>
            </w:r>
          </w:p>
        </w:tc>
        <w:tc>
          <w:tcPr>
            <w:tcW w:w="1843" w:type="dxa"/>
            <w:vAlign w:val="bottom"/>
          </w:tcPr>
          <w:p w:rsidR="00E27B62" w:rsidRPr="0045204F" w:rsidRDefault="00E27B62" w:rsidP="00E27B62">
            <w:pPr>
              <w:jc w:val="center"/>
              <w:rPr>
                <w:rFonts w:ascii="Calibri" w:hAnsi="Calibri" w:cs="Calibri"/>
                <w:color w:val="000000"/>
              </w:rPr>
            </w:pPr>
            <w:r w:rsidRPr="0045204F">
              <w:rPr>
                <w:rFonts w:ascii="Calibri" w:hAnsi="Calibri" w:cs="Calibri"/>
                <w:color w:val="000000"/>
              </w:rPr>
              <w:t>8.9%</w:t>
            </w:r>
          </w:p>
        </w:tc>
        <w:tc>
          <w:tcPr>
            <w:tcW w:w="1701" w:type="dxa"/>
          </w:tcPr>
          <w:p w:rsidR="00E27B62" w:rsidRPr="0045204F" w:rsidRDefault="00E27B62" w:rsidP="00E27B62">
            <w:pPr>
              <w:jc w:val="center"/>
              <w:rPr>
                <w:rFonts w:ascii="Calibri" w:hAnsi="Calibri" w:cs="Calibri"/>
                <w:color w:val="000000"/>
              </w:rPr>
            </w:pPr>
            <w:r>
              <w:rPr>
                <w:rFonts w:ascii="Calibri" w:hAnsi="Calibri" w:cs="Calibri"/>
                <w:color w:val="000000"/>
              </w:rPr>
              <w:t>5.5%</w:t>
            </w:r>
          </w:p>
        </w:tc>
        <w:tc>
          <w:tcPr>
            <w:tcW w:w="1701" w:type="dxa"/>
          </w:tcPr>
          <w:p w:rsidR="00E27B62" w:rsidRDefault="008C0389" w:rsidP="00E27B62">
            <w:pPr>
              <w:jc w:val="center"/>
              <w:rPr>
                <w:rFonts w:ascii="Calibri" w:hAnsi="Calibri" w:cs="Calibri"/>
                <w:color w:val="000000"/>
              </w:rPr>
            </w:pPr>
            <w:r>
              <w:rPr>
                <w:rFonts w:ascii="Calibri" w:hAnsi="Calibri" w:cs="Calibri"/>
                <w:color w:val="000000"/>
              </w:rPr>
              <w:t>7.9</w:t>
            </w:r>
          </w:p>
        </w:tc>
        <w:tc>
          <w:tcPr>
            <w:tcW w:w="1559" w:type="dxa"/>
            <w:tcBorders>
              <w:top w:val="nil"/>
              <w:left w:val="single" w:sz="4" w:space="0" w:color="auto"/>
              <w:bottom w:val="single" w:sz="4" w:space="0" w:color="auto"/>
              <w:right w:val="single" w:sz="4" w:space="0" w:color="auto"/>
            </w:tcBorders>
            <w:shd w:val="clear" w:color="auto" w:fill="auto"/>
            <w:vAlign w:val="bottom"/>
          </w:tcPr>
          <w:p w:rsidR="00E27B62" w:rsidRDefault="008C0389" w:rsidP="00E27B62">
            <w:pPr>
              <w:jc w:val="right"/>
              <w:rPr>
                <w:rFonts w:ascii="Calibri" w:hAnsi="Calibri" w:cs="Calibri"/>
                <w:color w:val="000000"/>
              </w:rPr>
            </w:pPr>
            <w:r>
              <w:rPr>
                <w:rFonts w:ascii="Calibri" w:hAnsi="Calibri" w:cs="Calibri"/>
                <w:color w:val="000000"/>
              </w:rPr>
              <w:t>4.7</w:t>
            </w:r>
            <w:r w:rsidR="00E27B62">
              <w:rPr>
                <w:rFonts w:ascii="Calibri" w:hAnsi="Calibri" w:cs="Calibri"/>
                <w:color w:val="000000"/>
              </w:rPr>
              <w:t>%</w:t>
            </w:r>
          </w:p>
        </w:tc>
      </w:tr>
      <w:tr w:rsidR="00E27B62" w:rsidRPr="0045204F" w:rsidTr="00341605">
        <w:tc>
          <w:tcPr>
            <w:tcW w:w="2405" w:type="dxa"/>
          </w:tcPr>
          <w:p w:rsidR="00E27B62" w:rsidRPr="0045204F" w:rsidRDefault="00E27B62" w:rsidP="00E27B62">
            <w:pPr>
              <w:jc w:val="center"/>
              <w:rPr>
                <w:rFonts w:cstheme="minorHAnsi"/>
                <w:b/>
                <w:lang w:eastAsia="en-GB"/>
              </w:rPr>
            </w:pPr>
            <w:r w:rsidRPr="0045204F">
              <w:rPr>
                <w:rFonts w:cstheme="minorHAnsi"/>
                <w:b/>
                <w:lang w:eastAsia="en-GB"/>
              </w:rPr>
              <w:t>Unknown</w:t>
            </w:r>
          </w:p>
        </w:tc>
        <w:tc>
          <w:tcPr>
            <w:tcW w:w="1843" w:type="dxa"/>
            <w:vAlign w:val="bottom"/>
          </w:tcPr>
          <w:p w:rsidR="00E27B62" w:rsidRPr="0045204F" w:rsidRDefault="00E27B62" w:rsidP="00E27B62">
            <w:pPr>
              <w:jc w:val="center"/>
              <w:rPr>
                <w:rFonts w:ascii="Calibri" w:hAnsi="Calibri" w:cs="Calibri"/>
                <w:color w:val="000000"/>
              </w:rPr>
            </w:pPr>
            <w:r w:rsidRPr="0045204F">
              <w:rPr>
                <w:rFonts w:ascii="Calibri" w:hAnsi="Calibri" w:cs="Calibri"/>
                <w:color w:val="000000"/>
              </w:rPr>
              <w:t>6.7%</w:t>
            </w:r>
          </w:p>
        </w:tc>
        <w:tc>
          <w:tcPr>
            <w:tcW w:w="1701" w:type="dxa"/>
          </w:tcPr>
          <w:p w:rsidR="00E27B62" w:rsidRPr="0045204F" w:rsidRDefault="00E27B62" w:rsidP="00E27B62">
            <w:pPr>
              <w:jc w:val="center"/>
              <w:rPr>
                <w:rFonts w:ascii="Calibri" w:hAnsi="Calibri" w:cs="Calibri"/>
                <w:color w:val="000000"/>
              </w:rPr>
            </w:pPr>
            <w:r>
              <w:rPr>
                <w:rFonts w:ascii="Calibri" w:hAnsi="Calibri" w:cs="Calibri"/>
                <w:color w:val="000000"/>
              </w:rPr>
              <w:t>4.6%</w:t>
            </w:r>
          </w:p>
        </w:tc>
        <w:tc>
          <w:tcPr>
            <w:tcW w:w="1701" w:type="dxa"/>
          </w:tcPr>
          <w:p w:rsidR="00E27B62" w:rsidRDefault="00E27B62" w:rsidP="00E27B62">
            <w:pPr>
              <w:jc w:val="center"/>
              <w:rPr>
                <w:rFonts w:ascii="Calibri" w:hAnsi="Calibri" w:cs="Calibri"/>
                <w:color w:val="000000"/>
              </w:rPr>
            </w:pPr>
            <w:r>
              <w:rPr>
                <w:rFonts w:ascii="Calibri" w:hAnsi="Calibri" w:cs="Calibri"/>
                <w:color w:val="000000"/>
              </w:rPr>
              <w:t>5.2%</w:t>
            </w:r>
          </w:p>
        </w:tc>
        <w:tc>
          <w:tcPr>
            <w:tcW w:w="1559" w:type="dxa"/>
            <w:tcBorders>
              <w:top w:val="nil"/>
              <w:left w:val="single" w:sz="4" w:space="0" w:color="auto"/>
              <w:bottom w:val="single" w:sz="4" w:space="0" w:color="auto"/>
              <w:right w:val="single" w:sz="4" w:space="0" w:color="auto"/>
            </w:tcBorders>
            <w:shd w:val="clear" w:color="auto" w:fill="auto"/>
            <w:vAlign w:val="bottom"/>
          </w:tcPr>
          <w:p w:rsidR="00E27B62" w:rsidRDefault="008C0389" w:rsidP="008C0389">
            <w:pPr>
              <w:jc w:val="right"/>
              <w:rPr>
                <w:rFonts w:ascii="Calibri" w:hAnsi="Calibri" w:cs="Calibri"/>
                <w:color w:val="000000"/>
              </w:rPr>
            </w:pPr>
            <w:r>
              <w:rPr>
                <w:rFonts w:ascii="Calibri" w:hAnsi="Calibri" w:cs="Calibri"/>
                <w:color w:val="000000"/>
              </w:rPr>
              <w:t>22.8</w:t>
            </w:r>
            <w:r w:rsidR="00E27B62">
              <w:rPr>
                <w:rFonts w:ascii="Calibri" w:hAnsi="Calibri" w:cs="Calibri"/>
                <w:color w:val="000000"/>
              </w:rPr>
              <w:t>%</w:t>
            </w:r>
          </w:p>
        </w:tc>
      </w:tr>
    </w:tbl>
    <w:p w:rsidR="00A03B7C" w:rsidRPr="0045204F" w:rsidRDefault="00A03B7C" w:rsidP="00A03B7C">
      <w:pPr>
        <w:rPr>
          <w:rFonts w:eastAsiaTheme="minorEastAsia" w:cstheme="minorHAnsi"/>
          <w:b/>
          <w:lang w:eastAsia="en-GB"/>
        </w:rPr>
      </w:pPr>
    </w:p>
    <w:p w:rsidR="00A03B7C" w:rsidRPr="0045204F" w:rsidRDefault="00A03B7C" w:rsidP="00A03B7C">
      <w:pPr>
        <w:shd w:val="clear" w:color="auto" w:fill="FFFFFF" w:themeFill="background1"/>
        <w:rPr>
          <w:rFonts w:eastAsiaTheme="minorEastAsia" w:cstheme="minorHAnsi"/>
          <w:lang w:eastAsia="en-GB"/>
        </w:rPr>
      </w:pPr>
      <w:r w:rsidRPr="0045204F">
        <w:rPr>
          <w:rFonts w:eastAsiaTheme="minorEastAsia" w:cstheme="minorHAnsi"/>
          <w:lang w:eastAsia="en-GB"/>
        </w:rPr>
        <w:t xml:space="preserve">Of the total </w:t>
      </w:r>
      <w:r w:rsidR="008C0389">
        <w:rPr>
          <w:rFonts w:eastAsiaTheme="minorEastAsia" w:cstheme="minorHAnsi"/>
          <w:lang w:eastAsia="en-GB"/>
        </w:rPr>
        <w:t>76</w:t>
      </w:r>
      <w:r>
        <w:rPr>
          <w:rFonts w:eastAsiaTheme="minorEastAsia" w:cstheme="minorHAnsi"/>
          <w:lang w:eastAsia="en-GB"/>
        </w:rPr>
        <w:t xml:space="preserve"> cases in 201</w:t>
      </w:r>
      <w:r w:rsidR="008C0389">
        <w:rPr>
          <w:rFonts w:eastAsiaTheme="minorEastAsia" w:cstheme="minorHAnsi"/>
          <w:lang w:eastAsia="en-GB"/>
        </w:rPr>
        <w:t>7</w:t>
      </w:r>
      <w:r>
        <w:rPr>
          <w:rFonts w:eastAsiaTheme="minorEastAsia" w:cstheme="minorHAnsi"/>
          <w:lang w:eastAsia="en-GB"/>
        </w:rPr>
        <w:t>/1</w:t>
      </w:r>
      <w:r w:rsidR="008C0389">
        <w:rPr>
          <w:rFonts w:eastAsiaTheme="minorEastAsia" w:cstheme="minorHAnsi"/>
          <w:lang w:eastAsia="en-GB"/>
        </w:rPr>
        <w:t>8</w:t>
      </w:r>
      <w:r>
        <w:rPr>
          <w:rFonts w:eastAsiaTheme="minorEastAsia" w:cstheme="minorHAnsi"/>
          <w:lang w:eastAsia="en-GB"/>
        </w:rPr>
        <w:t xml:space="preserve">, </w:t>
      </w:r>
      <w:r w:rsidRPr="0045204F">
        <w:rPr>
          <w:rFonts w:eastAsiaTheme="minorEastAsia" w:cstheme="minorHAnsi"/>
          <w:lang w:eastAsia="en-GB"/>
        </w:rPr>
        <w:t xml:space="preserve">a total of </w:t>
      </w:r>
      <w:r>
        <w:rPr>
          <w:rFonts w:eastAsiaTheme="minorEastAsia" w:cstheme="minorHAnsi"/>
          <w:lang w:eastAsia="en-GB"/>
        </w:rPr>
        <w:t>6</w:t>
      </w:r>
      <w:r w:rsidRPr="0045204F">
        <w:rPr>
          <w:rFonts w:eastAsiaTheme="minorEastAsia" w:cstheme="minorHAnsi"/>
          <w:lang w:eastAsia="en-GB"/>
        </w:rPr>
        <w:t xml:space="preserve"> staff </w:t>
      </w:r>
      <w:r>
        <w:rPr>
          <w:rFonts w:eastAsiaTheme="minorEastAsia" w:cstheme="minorHAnsi"/>
          <w:lang w:eastAsia="en-GB"/>
        </w:rPr>
        <w:t>(</w:t>
      </w:r>
      <w:r w:rsidR="008C0389">
        <w:rPr>
          <w:rFonts w:eastAsiaTheme="minorEastAsia" w:cstheme="minorHAnsi"/>
          <w:lang w:eastAsia="en-GB"/>
        </w:rPr>
        <w:t>7.9</w:t>
      </w:r>
      <w:r w:rsidRPr="0045204F">
        <w:rPr>
          <w:rFonts w:eastAsiaTheme="minorEastAsia" w:cstheme="minorHAnsi"/>
          <w:lang w:eastAsia="en-GB"/>
        </w:rPr>
        <w:t xml:space="preserve">%), declared a disability, compared with </w:t>
      </w:r>
      <w:r w:rsidR="008C0389">
        <w:rPr>
          <w:rFonts w:eastAsiaTheme="minorEastAsia" w:cstheme="minorHAnsi"/>
          <w:lang w:eastAsia="en-GB"/>
        </w:rPr>
        <w:t>5.5</w:t>
      </w:r>
      <w:r>
        <w:rPr>
          <w:rFonts w:eastAsiaTheme="minorEastAsia" w:cstheme="minorHAnsi"/>
          <w:lang w:eastAsia="en-GB"/>
        </w:rPr>
        <w:t>%</w:t>
      </w:r>
      <w:r w:rsidRPr="0045204F">
        <w:rPr>
          <w:rFonts w:eastAsiaTheme="minorEastAsia" w:cstheme="minorHAnsi"/>
          <w:lang w:eastAsia="en-GB"/>
        </w:rPr>
        <w:t xml:space="preserve"> the previous year. Of the </w:t>
      </w:r>
      <w:r>
        <w:rPr>
          <w:rFonts w:eastAsiaTheme="minorEastAsia" w:cstheme="minorHAnsi"/>
          <w:lang w:eastAsia="en-GB"/>
        </w:rPr>
        <w:t>6</w:t>
      </w:r>
      <w:r w:rsidRPr="0045204F">
        <w:rPr>
          <w:rFonts w:eastAsiaTheme="minorEastAsia" w:cstheme="minorHAnsi"/>
          <w:lang w:eastAsia="en-GB"/>
        </w:rPr>
        <w:t xml:space="preserve"> staff declaring a disability, </w:t>
      </w:r>
      <w:r w:rsidR="008C0389">
        <w:rPr>
          <w:rFonts w:eastAsiaTheme="minorEastAsia" w:cstheme="minorHAnsi"/>
          <w:lang w:eastAsia="en-GB"/>
        </w:rPr>
        <w:t>5</w:t>
      </w:r>
      <w:r w:rsidRPr="0045204F">
        <w:rPr>
          <w:rFonts w:eastAsiaTheme="minorEastAsia" w:cstheme="minorHAnsi"/>
          <w:lang w:eastAsia="en-GB"/>
        </w:rPr>
        <w:t xml:space="preserve"> cases were directly related to the individuals</w:t>
      </w:r>
      <w:r>
        <w:rPr>
          <w:rFonts w:eastAsiaTheme="minorEastAsia" w:cstheme="minorHAnsi"/>
          <w:lang w:eastAsia="en-GB"/>
        </w:rPr>
        <w:t>’</w:t>
      </w:r>
      <w:r w:rsidRPr="0045204F">
        <w:rPr>
          <w:rFonts w:eastAsiaTheme="minorEastAsia" w:cstheme="minorHAnsi"/>
          <w:lang w:eastAsia="en-GB"/>
        </w:rPr>
        <w:t xml:space="preserve"> disability as part of medical capability cases.</w:t>
      </w:r>
    </w:p>
    <w:p w:rsidR="00A03B7C" w:rsidRDefault="00A03B7C" w:rsidP="00A03B7C">
      <w:pPr>
        <w:rPr>
          <w:rFonts w:eastAsiaTheme="minorEastAsia" w:cstheme="minorHAnsi"/>
          <w:b/>
          <w:u w:val="single"/>
          <w:lang w:eastAsia="en-GB"/>
        </w:rPr>
      </w:pPr>
      <w:r w:rsidRPr="00B22619">
        <w:rPr>
          <w:rFonts w:eastAsiaTheme="minorEastAsia" w:cstheme="minorHAnsi"/>
          <w:b/>
          <w:u w:val="single"/>
          <w:lang w:eastAsia="en-GB"/>
        </w:rPr>
        <w:t xml:space="preserve">Employee Relations Ethnicity Profiling </w:t>
      </w:r>
    </w:p>
    <w:p w:rsidR="0093686D" w:rsidRDefault="0093686D" w:rsidP="0093686D">
      <w:pPr>
        <w:rPr>
          <w:rFonts w:eastAsiaTheme="minorEastAsia" w:cstheme="minorHAnsi"/>
          <w:lang w:eastAsia="en-GB"/>
        </w:rPr>
      </w:pPr>
      <w:r>
        <w:rPr>
          <w:rFonts w:eastAsiaTheme="minorEastAsia" w:cstheme="minorHAnsi"/>
          <w:lang w:eastAsia="en-GB"/>
        </w:rPr>
        <w:t xml:space="preserve">4% of staff subject to employee relations cases have a </w:t>
      </w:r>
      <w:r w:rsidRPr="0093686D">
        <w:rPr>
          <w:rFonts w:eastAsiaTheme="minorEastAsia" w:cstheme="minorHAnsi"/>
          <w:lang w:eastAsia="en-GB"/>
        </w:rPr>
        <w:t>Black &amp; Minority Ethnicity (BME)</w:t>
      </w:r>
      <w:r>
        <w:rPr>
          <w:rFonts w:eastAsiaTheme="minorEastAsia" w:cstheme="minorHAnsi"/>
          <w:lang w:eastAsia="en-GB"/>
        </w:rPr>
        <w:t xml:space="preserve"> profile. This compares to 5</w:t>
      </w:r>
      <w:r w:rsidRPr="0093686D">
        <w:rPr>
          <w:rFonts w:eastAsiaTheme="minorEastAsia" w:cstheme="minorHAnsi"/>
          <w:lang w:eastAsia="en-GB"/>
        </w:rPr>
        <w:t>.4% in 2016/17</w:t>
      </w:r>
      <w:r>
        <w:rPr>
          <w:rFonts w:eastAsiaTheme="minorEastAsia" w:cstheme="minorHAnsi"/>
          <w:lang w:eastAsia="en-GB"/>
        </w:rPr>
        <w:t xml:space="preserve">. Again, these figures are very broadly </w:t>
      </w:r>
      <w:r w:rsidR="0064507D">
        <w:rPr>
          <w:rFonts w:eastAsiaTheme="minorEastAsia" w:cstheme="minorHAnsi"/>
          <w:lang w:eastAsia="en-GB"/>
        </w:rPr>
        <w:t>in line with</w:t>
      </w:r>
      <w:r>
        <w:rPr>
          <w:rFonts w:eastAsiaTheme="minorEastAsia" w:cstheme="minorHAnsi"/>
          <w:lang w:eastAsia="en-GB"/>
        </w:rPr>
        <w:t xml:space="preserve"> the college’s overall staff profiles.</w:t>
      </w:r>
    </w:p>
    <w:p w:rsidR="0093686D" w:rsidRPr="0064507D" w:rsidRDefault="0064507D" w:rsidP="0064507D">
      <w:pPr>
        <w:rPr>
          <w:rFonts w:eastAsiaTheme="minorEastAsia" w:cstheme="minorHAnsi"/>
          <w:b/>
          <w:u w:val="single"/>
          <w:lang w:eastAsia="en-GB"/>
        </w:rPr>
      </w:pPr>
      <w:r w:rsidRPr="0064507D">
        <w:rPr>
          <w:rFonts w:eastAsiaTheme="minorEastAsia" w:cstheme="minorHAnsi"/>
          <w:b/>
          <w:u w:val="single"/>
          <w:lang w:eastAsia="en-GB"/>
        </w:rPr>
        <w:t>Employee Relations Religion &amp; Belief</w:t>
      </w:r>
    </w:p>
    <w:p w:rsidR="0064507D" w:rsidRDefault="00F013A8" w:rsidP="0093686D">
      <w:pPr>
        <w:rPr>
          <w:rFonts w:eastAsiaTheme="minorEastAsia" w:cstheme="minorHAnsi"/>
          <w:lang w:eastAsia="en-GB"/>
        </w:rPr>
      </w:pPr>
      <w:r>
        <w:rPr>
          <w:rFonts w:eastAsiaTheme="minorEastAsia" w:cstheme="minorHAnsi"/>
          <w:lang w:eastAsia="en-GB"/>
        </w:rPr>
        <w:t xml:space="preserve">47% of staff subject to employee relations cases </w:t>
      </w:r>
      <w:r w:rsidR="0074156D">
        <w:rPr>
          <w:rFonts w:eastAsiaTheme="minorEastAsia" w:cstheme="minorHAnsi"/>
          <w:lang w:eastAsia="en-GB"/>
        </w:rPr>
        <w:t>have</w:t>
      </w:r>
      <w:r>
        <w:rPr>
          <w:rFonts w:eastAsiaTheme="minorEastAsia" w:cstheme="minorHAnsi"/>
          <w:lang w:eastAsia="en-GB"/>
        </w:rPr>
        <w:t xml:space="preserve"> not disclose</w:t>
      </w:r>
      <w:r w:rsidR="0074156D">
        <w:rPr>
          <w:rFonts w:eastAsiaTheme="minorEastAsia" w:cstheme="minorHAnsi"/>
          <w:lang w:eastAsia="en-GB"/>
        </w:rPr>
        <w:t>d</w:t>
      </w:r>
      <w:r>
        <w:rPr>
          <w:rFonts w:eastAsiaTheme="minorEastAsia" w:cstheme="minorHAnsi"/>
          <w:lang w:eastAsia="en-GB"/>
        </w:rPr>
        <w:t xml:space="preserve"> their religion or belief, which is slightly lower than the overstaff staff percentage of 58.5%. Of the 53% of staff who did disclose, 77.5% were Christian, 2.6% Muslim and 1.3% Buddhist.  </w:t>
      </w:r>
    </w:p>
    <w:p w:rsidR="0093686D" w:rsidRDefault="00F013A8" w:rsidP="00A03B7C">
      <w:pPr>
        <w:rPr>
          <w:rFonts w:eastAsiaTheme="minorEastAsia" w:cstheme="minorHAnsi"/>
          <w:b/>
          <w:u w:val="single"/>
          <w:lang w:eastAsia="en-GB"/>
        </w:rPr>
      </w:pPr>
      <w:r w:rsidRPr="00F013A8">
        <w:rPr>
          <w:rFonts w:eastAsiaTheme="minorEastAsia" w:cstheme="minorHAnsi"/>
          <w:b/>
          <w:u w:val="single"/>
          <w:lang w:eastAsia="en-GB"/>
        </w:rPr>
        <w:t xml:space="preserve">Employee Relations </w:t>
      </w:r>
      <w:r>
        <w:rPr>
          <w:rFonts w:eastAsiaTheme="minorEastAsia" w:cstheme="minorHAnsi"/>
          <w:b/>
          <w:u w:val="single"/>
          <w:lang w:eastAsia="en-GB"/>
        </w:rPr>
        <w:t>Sexual Orientation</w:t>
      </w:r>
    </w:p>
    <w:p w:rsidR="0066346C" w:rsidRDefault="0074156D" w:rsidP="0066346C">
      <w:pPr>
        <w:shd w:val="clear" w:color="auto" w:fill="FFFFFF" w:themeFill="background1"/>
        <w:rPr>
          <w:rFonts w:cstheme="minorHAnsi"/>
        </w:rPr>
      </w:pPr>
      <w:r>
        <w:rPr>
          <w:rFonts w:cstheme="minorHAnsi"/>
        </w:rPr>
        <w:t xml:space="preserve">26% of staff </w:t>
      </w:r>
      <w:r w:rsidRPr="0074156D">
        <w:rPr>
          <w:rFonts w:cstheme="minorHAnsi"/>
        </w:rPr>
        <w:t xml:space="preserve">subject to employee relations </w:t>
      </w:r>
      <w:r>
        <w:rPr>
          <w:rFonts w:cstheme="minorHAnsi"/>
        </w:rPr>
        <w:t xml:space="preserve">cases have not disclosed their sexual orientation. Of the 74% who did, 93% </w:t>
      </w:r>
      <w:r w:rsidR="0066346C">
        <w:rPr>
          <w:rFonts w:cstheme="minorHAnsi"/>
        </w:rPr>
        <w:t xml:space="preserve">are heterosexual, compared to 97% of college employees (who disclosed their orientation). </w:t>
      </w:r>
    </w:p>
    <w:p w:rsidR="0066346C" w:rsidRDefault="0066346C" w:rsidP="0066346C">
      <w:pPr>
        <w:shd w:val="clear" w:color="auto" w:fill="FFFFFF" w:themeFill="background1"/>
        <w:rPr>
          <w:rFonts w:cstheme="minorHAnsi"/>
        </w:rPr>
      </w:pPr>
      <w:r>
        <w:rPr>
          <w:rFonts w:cstheme="minorHAnsi"/>
        </w:rPr>
        <w:t>There is no data available on gender reassignment.</w:t>
      </w:r>
    </w:p>
    <w:p w:rsidR="00B96148" w:rsidRPr="003F1207" w:rsidRDefault="00B96148" w:rsidP="00B96148">
      <w:pPr>
        <w:pStyle w:val="ListParagraph"/>
        <w:numPr>
          <w:ilvl w:val="0"/>
          <w:numId w:val="2"/>
        </w:numPr>
        <w:shd w:val="clear" w:color="auto" w:fill="FFFFFF" w:themeFill="background1"/>
        <w:ind w:hanging="720"/>
        <w:rPr>
          <w:rFonts w:cs="Arial"/>
          <w:b/>
          <w:u w:val="single"/>
        </w:rPr>
      </w:pPr>
      <w:r>
        <w:rPr>
          <w:rFonts w:cs="Arial"/>
          <w:b/>
          <w:u w:val="single"/>
        </w:rPr>
        <w:t xml:space="preserve">Staff EDI </w:t>
      </w:r>
      <w:r w:rsidRPr="003F1207">
        <w:rPr>
          <w:rFonts w:cs="Arial"/>
          <w:b/>
          <w:u w:val="single"/>
        </w:rPr>
        <w:t>Summary</w:t>
      </w:r>
      <w:r>
        <w:rPr>
          <w:rFonts w:cs="Arial"/>
          <w:b/>
          <w:u w:val="single"/>
        </w:rPr>
        <w:t xml:space="preserve"> &amp; Actions</w:t>
      </w:r>
    </w:p>
    <w:p w:rsidR="00B96148" w:rsidRPr="00D860F7" w:rsidRDefault="00B96148" w:rsidP="00B96148">
      <w:pPr>
        <w:shd w:val="clear" w:color="auto" w:fill="FFFFFF" w:themeFill="background1"/>
        <w:rPr>
          <w:rFonts w:cs="Arial"/>
        </w:rPr>
      </w:pPr>
      <w:r w:rsidRPr="00D860F7">
        <w:rPr>
          <w:rFonts w:cs="Arial"/>
        </w:rPr>
        <w:t xml:space="preserve">The College’s current workforce, in terms of its diversity, continues to broadly reflect the local community we serve. A range of analysis undertaken including </w:t>
      </w:r>
      <w:r>
        <w:rPr>
          <w:rFonts w:cs="Arial"/>
        </w:rPr>
        <w:t>current staff</w:t>
      </w:r>
      <w:r w:rsidRPr="00D860F7">
        <w:rPr>
          <w:rFonts w:cs="Arial"/>
        </w:rPr>
        <w:t>, job applicants (including job offers)</w:t>
      </w:r>
      <w:r>
        <w:rPr>
          <w:rFonts w:cs="Arial"/>
        </w:rPr>
        <w:t xml:space="preserve"> </w:t>
      </w:r>
      <w:r w:rsidRPr="00D860F7">
        <w:rPr>
          <w:rFonts w:cs="Arial"/>
        </w:rPr>
        <w:t xml:space="preserve">and staff involved in employee relations cases, indicates that our policies, procedures and practices are </w:t>
      </w:r>
      <w:r>
        <w:rPr>
          <w:rFonts w:cs="Arial"/>
        </w:rPr>
        <w:t xml:space="preserve">fair and </w:t>
      </w:r>
      <w:r w:rsidRPr="00D860F7">
        <w:rPr>
          <w:rFonts w:cs="Arial"/>
        </w:rPr>
        <w:t xml:space="preserve">equitable in both our recruitment and management of people.  </w:t>
      </w:r>
    </w:p>
    <w:p w:rsidR="00B96148" w:rsidRPr="00D860F7" w:rsidRDefault="00B96148" w:rsidP="00B96148">
      <w:pPr>
        <w:shd w:val="clear" w:color="auto" w:fill="FFFFFF" w:themeFill="background1"/>
        <w:rPr>
          <w:rFonts w:cs="Arial"/>
        </w:rPr>
      </w:pPr>
      <w:r>
        <w:rPr>
          <w:rFonts w:cs="Arial"/>
        </w:rPr>
        <w:t xml:space="preserve">Equality, </w:t>
      </w:r>
      <w:r w:rsidRPr="00D860F7">
        <w:rPr>
          <w:rFonts w:cs="Arial"/>
        </w:rPr>
        <w:t xml:space="preserve">Diversity </w:t>
      </w:r>
      <w:r>
        <w:rPr>
          <w:rFonts w:cs="Arial"/>
        </w:rPr>
        <w:t xml:space="preserve">and </w:t>
      </w:r>
      <w:r w:rsidR="004455C3">
        <w:rPr>
          <w:rFonts w:cs="Arial"/>
        </w:rPr>
        <w:t>Inclusion</w:t>
      </w:r>
      <w:r>
        <w:rPr>
          <w:rFonts w:cs="Arial"/>
        </w:rPr>
        <w:t xml:space="preserve"> is</w:t>
      </w:r>
      <w:r w:rsidRPr="00D860F7">
        <w:rPr>
          <w:rFonts w:cs="Arial"/>
        </w:rPr>
        <w:t xml:space="preserve"> a mandatory element of Staff Induction and together with the Prevent Duty mandatory training, this enhances our understanding of different cultures</w:t>
      </w:r>
      <w:r w:rsidR="004455C3">
        <w:rPr>
          <w:rFonts w:cs="Arial"/>
        </w:rPr>
        <w:t xml:space="preserve">, </w:t>
      </w:r>
      <w:r w:rsidRPr="00D860F7">
        <w:rPr>
          <w:rFonts w:cs="Arial"/>
        </w:rPr>
        <w:t>values</w:t>
      </w:r>
      <w:r w:rsidR="004455C3">
        <w:rPr>
          <w:rFonts w:cs="Arial"/>
        </w:rPr>
        <w:t xml:space="preserve"> and beliefs</w:t>
      </w:r>
      <w:r w:rsidRPr="00D860F7">
        <w:rPr>
          <w:rFonts w:cs="Arial"/>
        </w:rPr>
        <w:t xml:space="preserve">. </w:t>
      </w:r>
    </w:p>
    <w:p w:rsidR="00B96148" w:rsidRDefault="00B96148" w:rsidP="00B96148">
      <w:pPr>
        <w:shd w:val="clear" w:color="auto" w:fill="FFFFFF" w:themeFill="background1"/>
        <w:rPr>
          <w:rFonts w:cs="Arial"/>
        </w:rPr>
      </w:pPr>
      <w:r w:rsidRPr="00170D1B">
        <w:rPr>
          <w:rFonts w:cs="Arial"/>
        </w:rPr>
        <w:t xml:space="preserve">HR will continue to </w:t>
      </w:r>
      <w:r w:rsidR="004455C3">
        <w:rPr>
          <w:rFonts w:cs="Arial"/>
        </w:rPr>
        <w:t>encourage</w:t>
      </w:r>
      <w:r w:rsidRPr="00170D1B">
        <w:rPr>
          <w:rFonts w:cs="Arial"/>
        </w:rPr>
        <w:t xml:space="preserve"> staff to disclose protected characteristics and sensitive data using, as part of new GDPR guidelines</w:t>
      </w:r>
      <w:r w:rsidR="004455C3">
        <w:rPr>
          <w:rFonts w:cs="Arial"/>
        </w:rPr>
        <w:t xml:space="preserve">, the </w:t>
      </w:r>
      <w:r w:rsidRPr="00170D1B">
        <w:rPr>
          <w:rFonts w:cs="Arial"/>
        </w:rPr>
        <w:t xml:space="preserve">College’s secure ‘iTrent System’. </w:t>
      </w:r>
      <w:r w:rsidRPr="003F1207">
        <w:rPr>
          <w:rFonts w:cs="Arial"/>
        </w:rPr>
        <w:t xml:space="preserve">We are </w:t>
      </w:r>
      <w:r>
        <w:rPr>
          <w:rFonts w:cs="Arial"/>
        </w:rPr>
        <w:t>also</w:t>
      </w:r>
      <w:r w:rsidRPr="003F1207">
        <w:rPr>
          <w:rFonts w:cs="Arial"/>
        </w:rPr>
        <w:t xml:space="preserve"> hopeful that the recent online and confidenti</w:t>
      </w:r>
      <w:r w:rsidR="004455C3">
        <w:rPr>
          <w:rFonts w:cs="Arial"/>
        </w:rPr>
        <w:t>al ‘Great Place to Work Survey’</w:t>
      </w:r>
      <w:r w:rsidRPr="003F1207">
        <w:rPr>
          <w:rFonts w:cs="Arial"/>
        </w:rPr>
        <w:t xml:space="preserve"> will </w:t>
      </w:r>
      <w:r>
        <w:rPr>
          <w:rFonts w:cs="Arial"/>
        </w:rPr>
        <w:t xml:space="preserve">provide staff with greater confidence to share this </w:t>
      </w:r>
      <w:r w:rsidRPr="003F1207">
        <w:rPr>
          <w:rFonts w:cs="Arial"/>
        </w:rPr>
        <w:t xml:space="preserve">information in future. </w:t>
      </w:r>
    </w:p>
    <w:p w:rsidR="00B96148" w:rsidRDefault="00B96148" w:rsidP="00B96148">
      <w:pPr>
        <w:shd w:val="clear" w:color="auto" w:fill="FFFFFF" w:themeFill="background1"/>
        <w:rPr>
          <w:rFonts w:cs="Arial"/>
        </w:rPr>
      </w:pPr>
      <w:r>
        <w:rPr>
          <w:rFonts w:cs="Arial"/>
        </w:rPr>
        <w:lastRenderedPageBreak/>
        <w:t xml:space="preserve">The college will also continue to review its media for recruitment advertising and monitor our applications EDI data, while seeking to reach </w:t>
      </w:r>
      <w:r w:rsidR="004455C3">
        <w:rPr>
          <w:rFonts w:cs="Arial"/>
        </w:rPr>
        <w:t>minority</w:t>
      </w:r>
      <w:r>
        <w:rPr>
          <w:rFonts w:cs="Arial"/>
        </w:rPr>
        <w:t xml:space="preserve"> groups through a blend of online, specialist </w:t>
      </w:r>
      <w:r w:rsidRPr="001263DA">
        <w:rPr>
          <w:rFonts w:cs="Arial"/>
        </w:rPr>
        <w:t xml:space="preserve"> </w:t>
      </w:r>
      <w:r>
        <w:rPr>
          <w:rFonts w:cs="Arial"/>
        </w:rPr>
        <w:t>(‘</w:t>
      </w:r>
      <w:r w:rsidRPr="001263DA">
        <w:rPr>
          <w:rFonts w:cs="Arial"/>
        </w:rPr>
        <w:t>Living with Disability’, ‘Disability Review ‘</w:t>
      </w:r>
      <w:r>
        <w:rPr>
          <w:rFonts w:cs="Arial"/>
        </w:rPr>
        <w:t>,</w:t>
      </w:r>
      <w:r w:rsidRPr="001263DA">
        <w:rPr>
          <w:rFonts w:cs="Arial"/>
        </w:rPr>
        <w:t xml:space="preserve"> ‘Disabled-Go’</w:t>
      </w:r>
      <w:r>
        <w:rPr>
          <w:rFonts w:cs="Arial"/>
        </w:rPr>
        <w:t>) and local media, ensuring we are reaching  a local, regional and national audience.</w:t>
      </w:r>
    </w:p>
    <w:p w:rsidR="00B96148" w:rsidRPr="001263DA" w:rsidRDefault="00B96148" w:rsidP="00B96148">
      <w:pPr>
        <w:shd w:val="clear" w:color="auto" w:fill="FFFFFF" w:themeFill="background1"/>
        <w:rPr>
          <w:rFonts w:cs="Arial"/>
        </w:rPr>
      </w:pPr>
      <w:r>
        <w:rPr>
          <w:rFonts w:cs="Arial"/>
        </w:rPr>
        <w:t xml:space="preserve">We will continue to develop </w:t>
      </w:r>
      <w:r w:rsidRPr="001263DA">
        <w:rPr>
          <w:rFonts w:cs="Arial"/>
        </w:rPr>
        <w:t xml:space="preserve">graduate and </w:t>
      </w:r>
      <w:r w:rsidR="00872761">
        <w:rPr>
          <w:rFonts w:cs="Arial"/>
        </w:rPr>
        <w:t>i</w:t>
      </w:r>
      <w:r w:rsidRPr="001263DA">
        <w:rPr>
          <w:rFonts w:cs="Arial"/>
        </w:rPr>
        <w:t xml:space="preserve">ntern opportunities, </w:t>
      </w:r>
      <w:r>
        <w:rPr>
          <w:rFonts w:cs="Arial"/>
        </w:rPr>
        <w:t xml:space="preserve">via local universities and </w:t>
      </w:r>
      <w:r w:rsidRPr="001263DA">
        <w:rPr>
          <w:rFonts w:cs="Arial"/>
        </w:rPr>
        <w:t xml:space="preserve">targeted recruitment events </w:t>
      </w:r>
      <w:r>
        <w:rPr>
          <w:rFonts w:cs="Arial"/>
        </w:rPr>
        <w:t>to support internal succession planning.</w:t>
      </w:r>
    </w:p>
    <w:p w:rsidR="00B96148" w:rsidRPr="00A133DD" w:rsidRDefault="00B96148" w:rsidP="00B96148">
      <w:pPr>
        <w:shd w:val="clear" w:color="auto" w:fill="FFFFFF" w:themeFill="background1"/>
        <w:rPr>
          <w:rFonts w:cs="Arial"/>
        </w:rPr>
      </w:pPr>
    </w:p>
    <w:p w:rsidR="0093686D" w:rsidRDefault="0093686D" w:rsidP="00A03B7C">
      <w:pPr>
        <w:rPr>
          <w:rFonts w:eastAsiaTheme="minorEastAsia" w:cstheme="minorHAnsi"/>
          <w:b/>
          <w:u w:val="single"/>
          <w:lang w:eastAsia="en-GB"/>
        </w:rPr>
      </w:pPr>
    </w:p>
    <w:p w:rsidR="005758EB" w:rsidRDefault="005758EB">
      <w:pPr>
        <w:rPr>
          <w:rFonts w:eastAsiaTheme="minorEastAsia" w:cstheme="minorHAnsi"/>
          <w:b/>
          <w:u w:val="single"/>
          <w:lang w:eastAsia="en-GB"/>
        </w:rPr>
      </w:pPr>
    </w:p>
    <w:sectPr w:rsidR="005758E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0A0" w:rsidRDefault="008720A0" w:rsidP="00E32E88">
      <w:pPr>
        <w:spacing w:after="0" w:line="240" w:lineRule="auto"/>
      </w:pPr>
      <w:r>
        <w:separator/>
      </w:r>
    </w:p>
  </w:endnote>
  <w:endnote w:type="continuationSeparator" w:id="0">
    <w:p w:rsidR="008720A0" w:rsidRDefault="008720A0" w:rsidP="00E32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330297"/>
      <w:docPartObj>
        <w:docPartGallery w:val="Page Numbers (Bottom of Page)"/>
        <w:docPartUnique/>
      </w:docPartObj>
    </w:sdtPr>
    <w:sdtEndPr>
      <w:rPr>
        <w:noProof/>
      </w:rPr>
    </w:sdtEndPr>
    <w:sdtContent>
      <w:p w:rsidR="009F2B74" w:rsidRDefault="009F2B74">
        <w:pPr>
          <w:pStyle w:val="Footer"/>
          <w:jc w:val="right"/>
        </w:pPr>
        <w:r>
          <w:fldChar w:fldCharType="begin"/>
        </w:r>
        <w:r>
          <w:instrText xml:space="preserve"> PAGE   \* MERGEFORMAT </w:instrText>
        </w:r>
        <w:r>
          <w:fldChar w:fldCharType="separate"/>
        </w:r>
        <w:r w:rsidR="0089201D">
          <w:rPr>
            <w:noProof/>
          </w:rPr>
          <w:t>9</w:t>
        </w:r>
        <w:r>
          <w:rPr>
            <w:noProof/>
          </w:rPr>
          <w:fldChar w:fldCharType="end"/>
        </w:r>
      </w:p>
    </w:sdtContent>
  </w:sdt>
  <w:p w:rsidR="009F2B74" w:rsidRDefault="009F2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0A0" w:rsidRDefault="008720A0" w:rsidP="00E32E88">
      <w:pPr>
        <w:spacing w:after="0" w:line="240" w:lineRule="auto"/>
      </w:pPr>
      <w:r>
        <w:separator/>
      </w:r>
    </w:p>
  </w:footnote>
  <w:footnote w:type="continuationSeparator" w:id="0">
    <w:p w:rsidR="008720A0" w:rsidRDefault="008720A0" w:rsidP="00E32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B74" w:rsidRDefault="009F2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883DC9"/>
    <w:multiLevelType w:val="hybridMultilevel"/>
    <w:tmpl w:val="FACE6E62"/>
    <w:lvl w:ilvl="0" w:tplc="D8165F5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8F7883"/>
    <w:multiLevelType w:val="hybridMultilevel"/>
    <w:tmpl w:val="BBDEA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327"/>
    <w:rsid w:val="00002F0F"/>
    <w:rsid w:val="00017C0D"/>
    <w:rsid w:val="0006100F"/>
    <w:rsid w:val="00061493"/>
    <w:rsid w:val="000B75C0"/>
    <w:rsid w:val="000C0C7F"/>
    <w:rsid w:val="000E7433"/>
    <w:rsid w:val="00154123"/>
    <w:rsid w:val="001544F8"/>
    <w:rsid w:val="001723F5"/>
    <w:rsid w:val="0018365E"/>
    <w:rsid w:val="001C37FF"/>
    <w:rsid w:val="001C7189"/>
    <w:rsid w:val="001E4066"/>
    <w:rsid w:val="001E6121"/>
    <w:rsid w:val="00230857"/>
    <w:rsid w:val="00241391"/>
    <w:rsid w:val="00246DDF"/>
    <w:rsid w:val="00276747"/>
    <w:rsid w:val="00284391"/>
    <w:rsid w:val="002B49F6"/>
    <w:rsid w:val="002C6BBB"/>
    <w:rsid w:val="002D18F4"/>
    <w:rsid w:val="002D5EF3"/>
    <w:rsid w:val="0031166F"/>
    <w:rsid w:val="00325A4C"/>
    <w:rsid w:val="00333169"/>
    <w:rsid w:val="00341605"/>
    <w:rsid w:val="003721A6"/>
    <w:rsid w:val="00383062"/>
    <w:rsid w:val="0039163B"/>
    <w:rsid w:val="0039703A"/>
    <w:rsid w:val="003A2144"/>
    <w:rsid w:val="003D65D4"/>
    <w:rsid w:val="003F1207"/>
    <w:rsid w:val="003F6F89"/>
    <w:rsid w:val="00416625"/>
    <w:rsid w:val="00425990"/>
    <w:rsid w:val="004455C3"/>
    <w:rsid w:val="004A271E"/>
    <w:rsid w:val="004D6D36"/>
    <w:rsid w:val="0050002F"/>
    <w:rsid w:val="00514890"/>
    <w:rsid w:val="00517C92"/>
    <w:rsid w:val="005307E4"/>
    <w:rsid w:val="005374EF"/>
    <w:rsid w:val="00555694"/>
    <w:rsid w:val="005758EB"/>
    <w:rsid w:val="0059355B"/>
    <w:rsid w:val="0059538F"/>
    <w:rsid w:val="00596CBE"/>
    <w:rsid w:val="00610C78"/>
    <w:rsid w:val="0063345F"/>
    <w:rsid w:val="00633F5A"/>
    <w:rsid w:val="0064507D"/>
    <w:rsid w:val="0066346C"/>
    <w:rsid w:val="006828B5"/>
    <w:rsid w:val="006833F2"/>
    <w:rsid w:val="006856CD"/>
    <w:rsid w:val="006A6108"/>
    <w:rsid w:val="006B4A24"/>
    <w:rsid w:val="006C180D"/>
    <w:rsid w:val="006E47F5"/>
    <w:rsid w:val="006F0325"/>
    <w:rsid w:val="006F336F"/>
    <w:rsid w:val="007276FF"/>
    <w:rsid w:val="0074156D"/>
    <w:rsid w:val="00791164"/>
    <w:rsid w:val="00794029"/>
    <w:rsid w:val="007B3575"/>
    <w:rsid w:val="007B5183"/>
    <w:rsid w:val="007C7EF9"/>
    <w:rsid w:val="007D0C5A"/>
    <w:rsid w:val="007E088B"/>
    <w:rsid w:val="00840327"/>
    <w:rsid w:val="00851CEE"/>
    <w:rsid w:val="008720A0"/>
    <w:rsid w:val="00872761"/>
    <w:rsid w:val="0089201D"/>
    <w:rsid w:val="008926B1"/>
    <w:rsid w:val="008C0389"/>
    <w:rsid w:val="009217A8"/>
    <w:rsid w:val="00925BE3"/>
    <w:rsid w:val="0093686D"/>
    <w:rsid w:val="009417E7"/>
    <w:rsid w:val="009464CB"/>
    <w:rsid w:val="0095358D"/>
    <w:rsid w:val="00960973"/>
    <w:rsid w:val="009640EE"/>
    <w:rsid w:val="009748F6"/>
    <w:rsid w:val="00982DA3"/>
    <w:rsid w:val="009B110C"/>
    <w:rsid w:val="009C2675"/>
    <w:rsid w:val="009C5094"/>
    <w:rsid w:val="009D46F0"/>
    <w:rsid w:val="009F257D"/>
    <w:rsid w:val="009F2B74"/>
    <w:rsid w:val="00A03B7C"/>
    <w:rsid w:val="00A11CD2"/>
    <w:rsid w:val="00A4701E"/>
    <w:rsid w:val="00A56903"/>
    <w:rsid w:val="00A56E40"/>
    <w:rsid w:val="00A72AD3"/>
    <w:rsid w:val="00A818D2"/>
    <w:rsid w:val="00AA6612"/>
    <w:rsid w:val="00AB49EB"/>
    <w:rsid w:val="00AC0DB1"/>
    <w:rsid w:val="00AC2CE0"/>
    <w:rsid w:val="00AF514D"/>
    <w:rsid w:val="00B1086A"/>
    <w:rsid w:val="00B2086A"/>
    <w:rsid w:val="00B213B1"/>
    <w:rsid w:val="00B27CD4"/>
    <w:rsid w:val="00B31ACF"/>
    <w:rsid w:val="00B33CA2"/>
    <w:rsid w:val="00B502DC"/>
    <w:rsid w:val="00B509AF"/>
    <w:rsid w:val="00B56A54"/>
    <w:rsid w:val="00B63341"/>
    <w:rsid w:val="00B6515B"/>
    <w:rsid w:val="00B80DE7"/>
    <w:rsid w:val="00B82AF7"/>
    <w:rsid w:val="00B96148"/>
    <w:rsid w:val="00BA7B3F"/>
    <w:rsid w:val="00BC09C6"/>
    <w:rsid w:val="00BE6EF6"/>
    <w:rsid w:val="00BF53FB"/>
    <w:rsid w:val="00C74FA5"/>
    <w:rsid w:val="00C91C00"/>
    <w:rsid w:val="00C976B6"/>
    <w:rsid w:val="00C97782"/>
    <w:rsid w:val="00C97987"/>
    <w:rsid w:val="00CC4F8E"/>
    <w:rsid w:val="00CF3C84"/>
    <w:rsid w:val="00D7253A"/>
    <w:rsid w:val="00D81608"/>
    <w:rsid w:val="00D91312"/>
    <w:rsid w:val="00DA0248"/>
    <w:rsid w:val="00DA7AF2"/>
    <w:rsid w:val="00DB3646"/>
    <w:rsid w:val="00DB671D"/>
    <w:rsid w:val="00DE3216"/>
    <w:rsid w:val="00DF464C"/>
    <w:rsid w:val="00DF7C1B"/>
    <w:rsid w:val="00E212B3"/>
    <w:rsid w:val="00E27B62"/>
    <w:rsid w:val="00E32E88"/>
    <w:rsid w:val="00E50BAC"/>
    <w:rsid w:val="00E52619"/>
    <w:rsid w:val="00E702C0"/>
    <w:rsid w:val="00E8086A"/>
    <w:rsid w:val="00E858C0"/>
    <w:rsid w:val="00E91B8A"/>
    <w:rsid w:val="00E9206E"/>
    <w:rsid w:val="00EA6A49"/>
    <w:rsid w:val="00EB2E3D"/>
    <w:rsid w:val="00EE4793"/>
    <w:rsid w:val="00EF29A9"/>
    <w:rsid w:val="00EF70C3"/>
    <w:rsid w:val="00F013A8"/>
    <w:rsid w:val="00F02B3A"/>
    <w:rsid w:val="00F33A38"/>
    <w:rsid w:val="00F62368"/>
    <w:rsid w:val="00FC6F32"/>
    <w:rsid w:val="00FF5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01DBBF"/>
  <w15:docId w15:val="{047049FE-95EF-43D8-81D4-4F2E7891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4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3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327"/>
    <w:rPr>
      <w:rFonts w:ascii="Tahoma" w:hAnsi="Tahoma" w:cs="Tahoma"/>
      <w:sz w:val="16"/>
      <w:szCs w:val="16"/>
    </w:rPr>
  </w:style>
  <w:style w:type="numbering" w:customStyle="1" w:styleId="NoList1">
    <w:name w:val="No List1"/>
    <w:next w:val="NoList"/>
    <w:uiPriority w:val="99"/>
    <w:semiHidden/>
    <w:unhideWhenUsed/>
    <w:rsid w:val="009640EE"/>
  </w:style>
  <w:style w:type="paragraph" w:styleId="ListParagraph">
    <w:name w:val="List Paragraph"/>
    <w:basedOn w:val="Normal"/>
    <w:uiPriority w:val="34"/>
    <w:qFormat/>
    <w:rsid w:val="00E52619"/>
    <w:pPr>
      <w:ind w:left="720"/>
      <w:contextualSpacing/>
    </w:pPr>
  </w:style>
  <w:style w:type="paragraph" w:styleId="Header">
    <w:name w:val="header"/>
    <w:basedOn w:val="Normal"/>
    <w:link w:val="HeaderChar"/>
    <w:uiPriority w:val="99"/>
    <w:unhideWhenUsed/>
    <w:rsid w:val="00E32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E88"/>
  </w:style>
  <w:style w:type="paragraph" w:styleId="Footer">
    <w:name w:val="footer"/>
    <w:basedOn w:val="Normal"/>
    <w:link w:val="FooterChar"/>
    <w:uiPriority w:val="99"/>
    <w:unhideWhenUsed/>
    <w:rsid w:val="00E32E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E88"/>
  </w:style>
  <w:style w:type="table" w:styleId="TableGrid">
    <w:name w:val="Table Grid"/>
    <w:basedOn w:val="TableNormal"/>
    <w:uiPriority w:val="59"/>
    <w:rsid w:val="00953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03B7C"/>
    <w:pPr>
      <w:spacing w:after="0" w:line="240" w:lineRule="auto"/>
    </w:pPr>
    <w:rPr>
      <w:rFonts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0964">
      <w:bodyDiv w:val="1"/>
      <w:marLeft w:val="0"/>
      <w:marRight w:val="0"/>
      <w:marTop w:val="0"/>
      <w:marBottom w:val="0"/>
      <w:divBdr>
        <w:top w:val="none" w:sz="0" w:space="0" w:color="auto"/>
        <w:left w:val="none" w:sz="0" w:space="0" w:color="auto"/>
        <w:bottom w:val="none" w:sz="0" w:space="0" w:color="auto"/>
        <w:right w:val="none" w:sz="0" w:space="0" w:color="auto"/>
      </w:divBdr>
    </w:div>
    <w:div w:id="86467626">
      <w:bodyDiv w:val="1"/>
      <w:marLeft w:val="0"/>
      <w:marRight w:val="0"/>
      <w:marTop w:val="0"/>
      <w:marBottom w:val="0"/>
      <w:divBdr>
        <w:top w:val="none" w:sz="0" w:space="0" w:color="auto"/>
        <w:left w:val="none" w:sz="0" w:space="0" w:color="auto"/>
        <w:bottom w:val="none" w:sz="0" w:space="0" w:color="auto"/>
        <w:right w:val="none" w:sz="0" w:space="0" w:color="auto"/>
      </w:divBdr>
    </w:div>
    <w:div w:id="190807226">
      <w:bodyDiv w:val="1"/>
      <w:marLeft w:val="0"/>
      <w:marRight w:val="0"/>
      <w:marTop w:val="0"/>
      <w:marBottom w:val="0"/>
      <w:divBdr>
        <w:top w:val="none" w:sz="0" w:space="0" w:color="auto"/>
        <w:left w:val="none" w:sz="0" w:space="0" w:color="auto"/>
        <w:bottom w:val="none" w:sz="0" w:space="0" w:color="auto"/>
        <w:right w:val="none" w:sz="0" w:space="0" w:color="auto"/>
      </w:divBdr>
    </w:div>
    <w:div w:id="230359914">
      <w:bodyDiv w:val="1"/>
      <w:marLeft w:val="0"/>
      <w:marRight w:val="0"/>
      <w:marTop w:val="0"/>
      <w:marBottom w:val="0"/>
      <w:divBdr>
        <w:top w:val="none" w:sz="0" w:space="0" w:color="auto"/>
        <w:left w:val="none" w:sz="0" w:space="0" w:color="auto"/>
        <w:bottom w:val="none" w:sz="0" w:space="0" w:color="auto"/>
        <w:right w:val="none" w:sz="0" w:space="0" w:color="auto"/>
      </w:divBdr>
    </w:div>
    <w:div w:id="335424834">
      <w:bodyDiv w:val="1"/>
      <w:marLeft w:val="0"/>
      <w:marRight w:val="0"/>
      <w:marTop w:val="0"/>
      <w:marBottom w:val="0"/>
      <w:divBdr>
        <w:top w:val="none" w:sz="0" w:space="0" w:color="auto"/>
        <w:left w:val="none" w:sz="0" w:space="0" w:color="auto"/>
        <w:bottom w:val="none" w:sz="0" w:space="0" w:color="auto"/>
        <w:right w:val="none" w:sz="0" w:space="0" w:color="auto"/>
      </w:divBdr>
    </w:div>
    <w:div w:id="355737945">
      <w:bodyDiv w:val="1"/>
      <w:marLeft w:val="0"/>
      <w:marRight w:val="0"/>
      <w:marTop w:val="0"/>
      <w:marBottom w:val="0"/>
      <w:divBdr>
        <w:top w:val="none" w:sz="0" w:space="0" w:color="auto"/>
        <w:left w:val="none" w:sz="0" w:space="0" w:color="auto"/>
        <w:bottom w:val="none" w:sz="0" w:space="0" w:color="auto"/>
        <w:right w:val="none" w:sz="0" w:space="0" w:color="auto"/>
      </w:divBdr>
    </w:div>
    <w:div w:id="369887468">
      <w:bodyDiv w:val="1"/>
      <w:marLeft w:val="0"/>
      <w:marRight w:val="0"/>
      <w:marTop w:val="0"/>
      <w:marBottom w:val="0"/>
      <w:divBdr>
        <w:top w:val="none" w:sz="0" w:space="0" w:color="auto"/>
        <w:left w:val="none" w:sz="0" w:space="0" w:color="auto"/>
        <w:bottom w:val="none" w:sz="0" w:space="0" w:color="auto"/>
        <w:right w:val="none" w:sz="0" w:space="0" w:color="auto"/>
      </w:divBdr>
    </w:div>
    <w:div w:id="612829971">
      <w:bodyDiv w:val="1"/>
      <w:marLeft w:val="0"/>
      <w:marRight w:val="0"/>
      <w:marTop w:val="0"/>
      <w:marBottom w:val="0"/>
      <w:divBdr>
        <w:top w:val="none" w:sz="0" w:space="0" w:color="auto"/>
        <w:left w:val="none" w:sz="0" w:space="0" w:color="auto"/>
        <w:bottom w:val="none" w:sz="0" w:space="0" w:color="auto"/>
        <w:right w:val="none" w:sz="0" w:space="0" w:color="auto"/>
      </w:divBdr>
    </w:div>
    <w:div w:id="703214640">
      <w:bodyDiv w:val="1"/>
      <w:marLeft w:val="0"/>
      <w:marRight w:val="0"/>
      <w:marTop w:val="0"/>
      <w:marBottom w:val="0"/>
      <w:divBdr>
        <w:top w:val="none" w:sz="0" w:space="0" w:color="auto"/>
        <w:left w:val="none" w:sz="0" w:space="0" w:color="auto"/>
        <w:bottom w:val="none" w:sz="0" w:space="0" w:color="auto"/>
        <w:right w:val="none" w:sz="0" w:space="0" w:color="auto"/>
      </w:divBdr>
    </w:div>
    <w:div w:id="1000548053">
      <w:bodyDiv w:val="1"/>
      <w:marLeft w:val="0"/>
      <w:marRight w:val="0"/>
      <w:marTop w:val="0"/>
      <w:marBottom w:val="0"/>
      <w:divBdr>
        <w:top w:val="none" w:sz="0" w:space="0" w:color="auto"/>
        <w:left w:val="none" w:sz="0" w:space="0" w:color="auto"/>
        <w:bottom w:val="none" w:sz="0" w:space="0" w:color="auto"/>
        <w:right w:val="none" w:sz="0" w:space="0" w:color="auto"/>
      </w:divBdr>
    </w:div>
    <w:div w:id="1113599158">
      <w:bodyDiv w:val="1"/>
      <w:marLeft w:val="0"/>
      <w:marRight w:val="0"/>
      <w:marTop w:val="0"/>
      <w:marBottom w:val="0"/>
      <w:divBdr>
        <w:top w:val="none" w:sz="0" w:space="0" w:color="auto"/>
        <w:left w:val="none" w:sz="0" w:space="0" w:color="auto"/>
        <w:bottom w:val="none" w:sz="0" w:space="0" w:color="auto"/>
        <w:right w:val="none" w:sz="0" w:space="0" w:color="auto"/>
      </w:divBdr>
    </w:div>
    <w:div w:id="1127697256">
      <w:bodyDiv w:val="1"/>
      <w:marLeft w:val="0"/>
      <w:marRight w:val="0"/>
      <w:marTop w:val="0"/>
      <w:marBottom w:val="0"/>
      <w:divBdr>
        <w:top w:val="none" w:sz="0" w:space="0" w:color="auto"/>
        <w:left w:val="none" w:sz="0" w:space="0" w:color="auto"/>
        <w:bottom w:val="none" w:sz="0" w:space="0" w:color="auto"/>
        <w:right w:val="none" w:sz="0" w:space="0" w:color="auto"/>
      </w:divBdr>
    </w:div>
    <w:div w:id="1352952683">
      <w:bodyDiv w:val="1"/>
      <w:marLeft w:val="0"/>
      <w:marRight w:val="0"/>
      <w:marTop w:val="0"/>
      <w:marBottom w:val="0"/>
      <w:divBdr>
        <w:top w:val="none" w:sz="0" w:space="0" w:color="auto"/>
        <w:left w:val="none" w:sz="0" w:space="0" w:color="auto"/>
        <w:bottom w:val="none" w:sz="0" w:space="0" w:color="auto"/>
        <w:right w:val="none" w:sz="0" w:space="0" w:color="auto"/>
      </w:divBdr>
    </w:div>
    <w:div w:id="1381785281">
      <w:bodyDiv w:val="1"/>
      <w:marLeft w:val="0"/>
      <w:marRight w:val="0"/>
      <w:marTop w:val="0"/>
      <w:marBottom w:val="0"/>
      <w:divBdr>
        <w:top w:val="none" w:sz="0" w:space="0" w:color="auto"/>
        <w:left w:val="none" w:sz="0" w:space="0" w:color="auto"/>
        <w:bottom w:val="none" w:sz="0" w:space="0" w:color="auto"/>
        <w:right w:val="none" w:sz="0" w:space="0" w:color="auto"/>
      </w:divBdr>
    </w:div>
    <w:div w:id="1671518872">
      <w:bodyDiv w:val="1"/>
      <w:marLeft w:val="0"/>
      <w:marRight w:val="0"/>
      <w:marTop w:val="0"/>
      <w:marBottom w:val="0"/>
      <w:divBdr>
        <w:top w:val="none" w:sz="0" w:space="0" w:color="auto"/>
        <w:left w:val="none" w:sz="0" w:space="0" w:color="auto"/>
        <w:bottom w:val="none" w:sz="0" w:space="0" w:color="auto"/>
        <w:right w:val="none" w:sz="0" w:space="0" w:color="auto"/>
      </w:divBdr>
    </w:div>
    <w:div w:id="199552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GB"/>
              <a:t>Age Profiling Percentage by Academic Year</a:t>
            </a:r>
          </a:p>
        </c:rich>
      </c:tx>
      <c:layout/>
      <c:overlay val="0"/>
      <c:spPr>
        <a:noFill/>
        <a:ln>
          <a:noFill/>
        </a:ln>
        <a:effectLst/>
      </c:spPr>
    </c:title>
    <c:autoTitleDeleted val="0"/>
    <c:plotArea>
      <c:layout/>
      <c:barChart>
        <c:barDir val="col"/>
        <c:grouping val="clustered"/>
        <c:varyColors val="0"/>
        <c:ser>
          <c:idx val="0"/>
          <c:order val="0"/>
          <c:tx>
            <c:strRef>
              <c:f>Age!$B$2</c:f>
              <c:strCache>
                <c:ptCount val="1"/>
                <c:pt idx="0">
                  <c:v>Number of People</c:v>
                </c:pt>
              </c:strCache>
            </c:strRef>
          </c:tx>
          <c:spPr>
            <a:solidFill>
              <a:schemeClr val="accent1">
                <a:shade val="58000"/>
              </a:schemeClr>
            </a:solidFill>
            <a:ln>
              <a:noFill/>
            </a:ln>
            <a:effectLst/>
          </c:spPr>
          <c:invertIfNegative val="0"/>
          <c:cat>
            <c:strRef>
              <c:f>Age!$A$3:$A$12</c:f>
              <c:strCache>
                <c:ptCount val="10"/>
                <c:pt idx="0">
                  <c:v>16-24</c:v>
                </c:pt>
                <c:pt idx="1">
                  <c:v>25-29</c:v>
                </c:pt>
                <c:pt idx="2">
                  <c:v>30-34</c:v>
                </c:pt>
                <c:pt idx="3">
                  <c:v>35-39</c:v>
                </c:pt>
                <c:pt idx="4">
                  <c:v>40-44</c:v>
                </c:pt>
                <c:pt idx="5">
                  <c:v>45-49</c:v>
                </c:pt>
                <c:pt idx="6">
                  <c:v>50-54</c:v>
                </c:pt>
                <c:pt idx="7">
                  <c:v>55-59</c:v>
                </c:pt>
                <c:pt idx="8">
                  <c:v>60-64</c:v>
                </c:pt>
                <c:pt idx="9">
                  <c:v>65+</c:v>
                </c:pt>
              </c:strCache>
            </c:strRef>
          </c:cat>
          <c:val>
            <c:numRef>
              <c:f>Age!$B$3:$B$12</c:f>
            </c:numRef>
          </c:val>
          <c:extLst>
            <c:ext xmlns:c16="http://schemas.microsoft.com/office/drawing/2014/chart" uri="{C3380CC4-5D6E-409C-BE32-E72D297353CC}">
              <c16:uniqueId val="{00000000-8E9C-487F-9AE2-DE07D9A8F7FA}"/>
            </c:ext>
          </c:extLst>
        </c:ser>
        <c:ser>
          <c:idx val="1"/>
          <c:order val="1"/>
          <c:tx>
            <c:strRef>
              <c:f>Age!$C$2</c:f>
              <c:strCache>
                <c:ptCount val="1"/>
                <c:pt idx="0">
                  <c:v>2017-18</c:v>
                </c:pt>
              </c:strCache>
            </c:strRef>
          </c:tx>
          <c:spPr>
            <a:solidFill>
              <a:schemeClr val="accent1">
                <a:shade val="86000"/>
              </a:schemeClr>
            </a:solidFill>
            <a:ln>
              <a:noFill/>
            </a:ln>
            <a:effectLst/>
          </c:spPr>
          <c:invertIfNegative val="0"/>
          <c:cat>
            <c:strRef>
              <c:f>Age!$A$3:$A$12</c:f>
              <c:strCache>
                <c:ptCount val="10"/>
                <c:pt idx="0">
                  <c:v>16-24</c:v>
                </c:pt>
                <c:pt idx="1">
                  <c:v>25-29</c:v>
                </c:pt>
                <c:pt idx="2">
                  <c:v>30-34</c:v>
                </c:pt>
                <c:pt idx="3">
                  <c:v>35-39</c:v>
                </c:pt>
                <c:pt idx="4">
                  <c:v>40-44</c:v>
                </c:pt>
                <c:pt idx="5">
                  <c:v>45-49</c:v>
                </c:pt>
                <c:pt idx="6">
                  <c:v>50-54</c:v>
                </c:pt>
                <c:pt idx="7">
                  <c:v>55-59</c:v>
                </c:pt>
                <c:pt idx="8">
                  <c:v>60-64</c:v>
                </c:pt>
                <c:pt idx="9">
                  <c:v>65+</c:v>
                </c:pt>
              </c:strCache>
            </c:strRef>
          </c:cat>
          <c:val>
            <c:numRef>
              <c:f>Age!$C$3:$C$12</c:f>
              <c:numCache>
                <c:formatCode>0.00%</c:formatCode>
                <c:ptCount val="10"/>
                <c:pt idx="0">
                  <c:v>6.2080536912751678E-2</c:v>
                </c:pt>
                <c:pt idx="1">
                  <c:v>9.2281879194630878E-2</c:v>
                </c:pt>
                <c:pt idx="2">
                  <c:v>8.557046979865772E-2</c:v>
                </c:pt>
                <c:pt idx="3">
                  <c:v>0.12248322147651007</c:v>
                </c:pt>
                <c:pt idx="4">
                  <c:v>0.1174496644295302</c:v>
                </c:pt>
                <c:pt idx="5">
                  <c:v>0.16442953020134229</c:v>
                </c:pt>
                <c:pt idx="6">
                  <c:v>0.14261744966442952</c:v>
                </c:pt>
                <c:pt idx="7">
                  <c:v>0.12919463087248323</c:v>
                </c:pt>
                <c:pt idx="8">
                  <c:v>6.879194630872483E-2</c:v>
                </c:pt>
                <c:pt idx="9">
                  <c:v>1.5100671140939598E-2</c:v>
                </c:pt>
              </c:numCache>
            </c:numRef>
          </c:val>
          <c:extLst>
            <c:ext xmlns:c16="http://schemas.microsoft.com/office/drawing/2014/chart" uri="{C3380CC4-5D6E-409C-BE32-E72D297353CC}">
              <c16:uniqueId val="{00000001-8E9C-487F-9AE2-DE07D9A8F7FA}"/>
            </c:ext>
          </c:extLst>
        </c:ser>
        <c:ser>
          <c:idx val="2"/>
          <c:order val="2"/>
          <c:tx>
            <c:strRef>
              <c:f>Age!$D$2</c:f>
              <c:strCache>
                <c:ptCount val="1"/>
                <c:pt idx="0">
                  <c:v>2016-17</c:v>
                </c:pt>
              </c:strCache>
            </c:strRef>
          </c:tx>
          <c:spPr>
            <a:solidFill>
              <a:schemeClr val="accent1">
                <a:tint val="86000"/>
              </a:schemeClr>
            </a:solidFill>
            <a:ln>
              <a:noFill/>
            </a:ln>
            <a:effectLst/>
          </c:spPr>
          <c:invertIfNegative val="0"/>
          <c:cat>
            <c:strRef>
              <c:f>Age!$A$3:$A$12</c:f>
              <c:strCache>
                <c:ptCount val="10"/>
                <c:pt idx="0">
                  <c:v>16-24</c:v>
                </c:pt>
                <c:pt idx="1">
                  <c:v>25-29</c:v>
                </c:pt>
                <c:pt idx="2">
                  <c:v>30-34</c:v>
                </c:pt>
                <c:pt idx="3">
                  <c:v>35-39</c:v>
                </c:pt>
                <c:pt idx="4">
                  <c:v>40-44</c:v>
                </c:pt>
                <c:pt idx="5">
                  <c:v>45-49</c:v>
                </c:pt>
                <c:pt idx="6">
                  <c:v>50-54</c:v>
                </c:pt>
                <c:pt idx="7">
                  <c:v>55-59</c:v>
                </c:pt>
                <c:pt idx="8">
                  <c:v>60-64</c:v>
                </c:pt>
                <c:pt idx="9">
                  <c:v>65+</c:v>
                </c:pt>
              </c:strCache>
            </c:strRef>
          </c:cat>
          <c:val>
            <c:numRef>
              <c:f>Age!$D$3:$D$12</c:f>
              <c:numCache>
                <c:formatCode>0.00%</c:formatCode>
                <c:ptCount val="10"/>
                <c:pt idx="0">
                  <c:v>5.2999999999999999E-2</c:v>
                </c:pt>
                <c:pt idx="1">
                  <c:v>9.2999999999999999E-2</c:v>
                </c:pt>
                <c:pt idx="2">
                  <c:v>8.8999999999999996E-2</c:v>
                </c:pt>
                <c:pt idx="3">
                  <c:v>0.11</c:v>
                </c:pt>
                <c:pt idx="4">
                  <c:v>0.122</c:v>
                </c:pt>
                <c:pt idx="5">
                  <c:v>0.156</c:v>
                </c:pt>
                <c:pt idx="6">
                  <c:v>0.16400000000000001</c:v>
                </c:pt>
                <c:pt idx="7">
                  <c:v>0.13800000000000001</c:v>
                </c:pt>
                <c:pt idx="8">
                  <c:v>6.0999999999999999E-2</c:v>
                </c:pt>
                <c:pt idx="9">
                  <c:v>1.4E-2</c:v>
                </c:pt>
              </c:numCache>
            </c:numRef>
          </c:val>
          <c:extLst>
            <c:ext xmlns:c16="http://schemas.microsoft.com/office/drawing/2014/chart" uri="{C3380CC4-5D6E-409C-BE32-E72D297353CC}">
              <c16:uniqueId val="{00000002-8E9C-487F-9AE2-DE07D9A8F7FA}"/>
            </c:ext>
          </c:extLst>
        </c:ser>
        <c:ser>
          <c:idx val="3"/>
          <c:order val="3"/>
          <c:tx>
            <c:strRef>
              <c:f>Age!$E$2</c:f>
              <c:strCache>
                <c:ptCount val="1"/>
                <c:pt idx="0">
                  <c:v>2015-16</c:v>
                </c:pt>
              </c:strCache>
            </c:strRef>
          </c:tx>
          <c:spPr>
            <a:solidFill>
              <a:schemeClr val="accent1">
                <a:tint val="58000"/>
              </a:schemeClr>
            </a:solidFill>
            <a:ln>
              <a:noFill/>
            </a:ln>
            <a:effectLst/>
          </c:spPr>
          <c:invertIfNegative val="0"/>
          <c:cat>
            <c:strRef>
              <c:f>Age!$A$3:$A$12</c:f>
              <c:strCache>
                <c:ptCount val="10"/>
                <c:pt idx="0">
                  <c:v>16-24</c:v>
                </c:pt>
                <c:pt idx="1">
                  <c:v>25-29</c:v>
                </c:pt>
                <c:pt idx="2">
                  <c:v>30-34</c:v>
                </c:pt>
                <c:pt idx="3">
                  <c:v>35-39</c:v>
                </c:pt>
                <c:pt idx="4">
                  <c:v>40-44</c:v>
                </c:pt>
                <c:pt idx="5">
                  <c:v>45-49</c:v>
                </c:pt>
                <c:pt idx="6">
                  <c:v>50-54</c:v>
                </c:pt>
                <c:pt idx="7">
                  <c:v>55-59</c:v>
                </c:pt>
                <c:pt idx="8">
                  <c:v>60-64</c:v>
                </c:pt>
                <c:pt idx="9">
                  <c:v>65+</c:v>
                </c:pt>
              </c:strCache>
            </c:strRef>
          </c:cat>
          <c:val>
            <c:numRef>
              <c:f>Age!$E$3:$E$12</c:f>
              <c:numCache>
                <c:formatCode>0.00%</c:formatCode>
                <c:ptCount val="10"/>
                <c:pt idx="0">
                  <c:v>5.6000000000000001E-2</c:v>
                </c:pt>
                <c:pt idx="1">
                  <c:v>8.5000000000000006E-2</c:v>
                </c:pt>
                <c:pt idx="2">
                  <c:v>9.9000000000000005E-2</c:v>
                </c:pt>
                <c:pt idx="3">
                  <c:v>0.112</c:v>
                </c:pt>
                <c:pt idx="4">
                  <c:v>0.126</c:v>
                </c:pt>
                <c:pt idx="5">
                  <c:v>0.14199999999999999</c:v>
                </c:pt>
                <c:pt idx="6">
                  <c:v>0.155</c:v>
                </c:pt>
                <c:pt idx="7">
                  <c:v>0.14799999999999999</c:v>
                </c:pt>
                <c:pt idx="8">
                  <c:v>6.0999999999999999E-2</c:v>
                </c:pt>
                <c:pt idx="9">
                  <c:v>1.6E-2</c:v>
                </c:pt>
              </c:numCache>
            </c:numRef>
          </c:val>
          <c:extLst>
            <c:ext xmlns:c16="http://schemas.microsoft.com/office/drawing/2014/chart" uri="{C3380CC4-5D6E-409C-BE32-E72D297353CC}">
              <c16:uniqueId val="{00000003-8E9C-487F-9AE2-DE07D9A8F7FA}"/>
            </c:ext>
          </c:extLst>
        </c:ser>
        <c:dLbls>
          <c:showLegendKey val="0"/>
          <c:showVal val="0"/>
          <c:showCatName val="0"/>
          <c:showSerName val="0"/>
          <c:showPercent val="0"/>
          <c:showBubbleSize val="0"/>
        </c:dLbls>
        <c:gapWidth val="219"/>
        <c:overlap val="-27"/>
        <c:axId val="135844992"/>
        <c:axId val="135846528"/>
      </c:barChart>
      <c:catAx>
        <c:axId val="135844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35846528"/>
        <c:crosses val="autoZero"/>
        <c:auto val="1"/>
        <c:lblAlgn val="ctr"/>
        <c:lblOffset val="100"/>
        <c:noMultiLvlLbl val="0"/>
      </c:catAx>
      <c:valAx>
        <c:axId val="1358465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358449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GB"/>
              <a:t>Gender by Academic Year</a:t>
            </a:r>
          </a:p>
        </c:rich>
      </c:tx>
      <c:layout/>
      <c:overlay val="0"/>
      <c:spPr>
        <a:noFill/>
        <a:ln>
          <a:noFill/>
        </a:ln>
        <a:effectLst/>
      </c:spPr>
    </c:title>
    <c:autoTitleDeleted val="0"/>
    <c:plotArea>
      <c:layout/>
      <c:barChart>
        <c:barDir val="col"/>
        <c:grouping val="clustered"/>
        <c:varyColors val="0"/>
        <c:ser>
          <c:idx val="0"/>
          <c:order val="0"/>
          <c:tx>
            <c:strRef>
              <c:f>Gender!$C$5</c:f>
              <c:strCache>
                <c:ptCount val="1"/>
                <c:pt idx="0">
                  <c:v>Female</c:v>
                </c:pt>
              </c:strCache>
            </c:strRef>
          </c:tx>
          <c:spPr>
            <a:solidFill>
              <a:schemeClr val="accent1">
                <a:shade val="76000"/>
              </a:schemeClr>
            </a:solidFill>
            <a:ln>
              <a:noFill/>
            </a:ln>
            <a:effectLst/>
          </c:spPr>
          <c:invertIfNegative val="0"/>
          <c:cat>
            <c:strRef>
              <c:f>Gender!$D$4:$G$4</c:f>
              <c:strCache>
                <c:ptCount val="3"/>
                <c:pt idx="0">
                  <c:v>2017-18</c:v>
                </c:pt>
                <c:pt idx="1">
                  <c:v>2016-17</c:v>
                </c:pt>
                <c:pt idx="2">
                  <c:v>2015-16</c:v>
                </c:pt>
              </c:strCache>
            </c:strRef>
          </c:cat>
          <c:val>
            <c:numRef>
              <c:f>Gender!$D$5:$G$5</c:f>
              <c:numCache>
                <c:formatCode>0%</c:formatCode>
                <c:ptCount val="3"/>
                <c:pt idx="0">
                  <c:v>0.57550335570469802</c:v>
                </c:pt>
                <c:pt idx="1">
                  <c:v>0.57999999999999996</c:v>
                </c:pt>
                <c:pt idx="2">
                  <c:v>0.58599999999999997</c:v>
                </c:pt>
              </c:numCache>
            </c:numRef>
          </c:val>
          <c:extLst>
            <c:ext xmlns:c16="http://schemas.microsoft.com/office/drawing/2014/chart" uri="{C3380CC4-5D6E-409C-BE32-E72D297353CC}">
              <c16:uniqueId val="{00000000-006E-49F2-8F3B-7F916ED52DBA}"/>
            </c:ext>
          </c:extLst>
        </c:ser>
        <c:ser>
          <c:idx val="1"/>
          <c:order val="1"/>
          <c:tx>
            <c:strRef>
              <c:f>Gender!$C$6</c:f>
              <c:strCache>
                <c:ptCount val="1"/>
                <c:pt idx="0">
                  <c:v>Male</c:v>
                </c:pt>
              </c:strCache>
            </c:strRef>
          </c:tx>
          <c:spPr>
            <a:solidFill>
              <a:schemeClr val="accent1">
                <a:tint val="77000"/>
              </a:schemeClr>
            </a:solidFill>
            <a:ln>
              <a:noFill/>
            </a:ln>
            <a:effectLst/>
          </c:spPr>
          <c:invertIfNegative val="0"/>
          <c:cat>
            <c:strRef>
              <c:f>Gender!$D$4:$G$4</c:f>
              <c:strCache>
                <c:ptCount val="3"/>
                <c:pt idx="0">
                  <c:v>2017-18</c:v>
                </c:pt>
                <c:pt idx="1">
                  <c:v>2016-17</c:v>
                </c:pt>
                <c:pt idx="2">
                  <c:v>2015-16</c:v>
                </c:pt>
              </c:strCache>
            </c:strRef>
          </c:cat>
          <c:val>
            <c:numRef>
              <c:f>Gender!$D$6:$G$6</c:f>
              <c:numCache>
                <c:formatCode>0%</c:formatCode>
                <c:ptCount val="3"/>
                <c:pt idx="0">
                  <c:v>0.42449664429530204</c:v>
                </c:pt>
                <c:pt idx="1">
                  <c:v>0.42</c:v>
                </c:pt>
                <c:pt idx="2">
                  <c:v>0.41399999999999998</c:v>
                </c:pt>
              </c:numCache>
            </c:numRef>
          </c:val>
          <c:extLst>
            <c:ext xmlns:c16="http://schemas.microsoft.com/office/drawing/2014/chart" uri="{C3380CC4-5D6E-409C-BE32-E72D297353CC}">
              <c16:uniqueId val="{00000001-006E-49F2-8F3B-7F916ED52DBA}"/>
            </c:ext>
          </c:extLst>
        </c:ser>
        <c:dLbls>
          <c:showLegendKey val="0"/>
          <c:showVal val="0"/>
          <c:showCatName val="0"/>
          <c:showSerName val="0"/>
          <c:showPercent val="0"/>
          <c:showBubbleSize val="0"/>
        </c:dLbls>
        <c:gapWidth val="219"/>
        <c:overlap val="-27"/>
        <c:axId val="135655808"/>
        <c:axId val="135657344"/>
      </c:barChart>
      <c:catAx>
        <c:axId val="135655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5657344"/>
        <c:crosses val="autoZero"/>
        <c:auto val="1"/>
        <c:lblAlgn val="ctr"/>
        <c:lblOffset val="100"/>
        <c:noMultiLvlLbl val="0"/>
      </c:catAx>
      <c:valAx>
        <c:axId val="135657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56558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ysClr val="window" lastClr="FFFFFF"/>
    </a:solidFill>
    <a:ln w="12700" cap="flat" cmpd="sng" algn="ctr">
      <a:solidFill>
        <a:sysClr val="windowText" lastClr="000000"/>
      </a:solidFill>
      <a:prstDash val="solid"/>
      <a:miter lim="800000"/>
    </a:ln>
    <a:effectLst/>
  </c:spPr>
  <c:txPr>
    <a:bodyPr/>
    <a:lstStyle/>
    <a:p>
      <a:pPr>
        <a:defRPr>
          <a:solidFill>
            <a:sysClr val="windowText" lastClr="000000"/>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17CD6-82FA-4A72-BCE2-8B170F6B5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5450</Words>
  <Characters>31071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Chesterfield College</Company>
  <LinksUpToDate>false</LinksUpToDate>
  <CharactersWithSpaces>36449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Laverick, Daniel</dc:creator>
  <cp:lastModifiedBy>Stewart, Sandra</cp:lastModifiedBy>
  <cp:revision>6</cp:revision>
  <dcterms:created xsi:type="dcterms:W3CDTF">2019-04-03T12:34:00Z</dcterms:created>
  <dcterms:modified xsi:type="dcterms:W3CDTF">2019-04-03T13:14:00Z</dcterms:modified>
</cp:coreProperties>
</file>